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DA26" w14:textId="2583AE55">
      <w:pPr>
        <w:rPr>
          <w:b/>
        </w:rPr>
        <w:pStyle w:val="P68B1DB1-Normal1"/>
      </w:pPr>
      <w:r>
        <w:t xml:space="preserve">Tabelas, Figuras, Imagens para Submissão ATOTW</w:t>
      </w:r>
    </w:p>
    <w:p w14:paraId="47C3BE08" w14:textId="3B5E19DD"/>
    <w:p w14:paraId="24130EC6" w14:textId="61959BA8">
      <w:pPr>
        <w:rPr>
          <w:b/>
        </w:rPr>
        <w:pStyle w:val="P68B1DB1-Normal1"/>
      </w:pPr>
      <w:r>
        <w:t>FIGURAS</w:t>
      </w:r>
    </w:p>
    <w:p w14:paraId="43815D97" w14:textId="2F91A038"/>
    <w:p w14:paraId="710FD27A" w14:textId="2BBD87C3">
      <w:pPr>
        <w:jc w:val="center"/>
      </w:pPr>
      <w:r>
        <w:drawing>
          <wp:inline distT="0" distB="0" distL="0" distR="0" wp14:anchorId="6C890605" wp14:editId="1CD20B6C">
            <wp:extent cx="4562475" cy="3421857"/>
            <wp:effectExtent l="0" t="0" r="0" b="7620"/>
            <wp:docPr id="2" name="Picture 2" descr="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  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4703" cy="342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E1417" w14:textId="06B14291">
      <w:pPr>
        <w:jc w:val="center"/>
        <w:rPr>
          <w:rFonts w:ascii="Arial" w:hAnsi="Arial" w:cs="Arial"/>
          <w:b/>
          <w:sz w:val="18"/>
        </w:rPr>
        <w:pStyle w:val="P68B1DB1-Normal2"/>
      </w:pPr>
      <w:r>
        <w:rPr>
          <w:b/>
        </w:rPr>
        <w:t xml:space="preserve">Figura 1A: </w:t>
      </w:r>
      <w:r>
        <w:t xml:space="preserve">Dermátomos relevantes para abordagens de artroplastia total do quadril, vista anterior</w:t>
      </w:r>
    </w:p>
    <w:p w14:paraId="37D3A1ED" w14:textId="459B4D24">
      <w:pPr>
        <w:jc w:val="center"/>
      </w:pPr>
      <w:r>
        <w:drawing>
          <wp:inline distT="0" distB="0" distL="0" distR="0" wp14:anchorId="4BF70C91" wp14:editId="42BF0516">
            <wp:extent cx="4705350" cy="3528542"/>
            <wp:effectExtent l="0" t="0" r="0" b="0"/>
            <wp:docPr id="3" name="Picture 3" descr="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  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680" cy="3538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5C4C3" w14:textId="77777777">
      <w:pPr>
        <w:jc w:val="center"/>
        <w:rPr>
          <w:rFonts w:ascii="Arial" w:hAnsi="Arial" w:cs="Arial"/>
          <w:b/>
          <w:sz w:val="18"/>
        </w:rPr>
        <w:pStyle w:val="P68B1DB1-Normal2"/>
      </w:pPr>
      <w:r>
        <w:rPr>
          <w:b/>
        </w:rPr>
        <w:t xml:space="preserve">Figura 1B: </w:t>
      </w:r>
      <w:r>
        <w:t xml:space="preserve">Dermátomos relevantes para abordagens de artroplastia total do quadril, vista posterior</w:t>
      </w:r>
    </w:p>
    <w:p w14:paraId="3BA35940" w14:textId="77777777"/>
    <w:p w14:paraId="735FEA0B" w14:textId="4848ED9C">
      <w:pPr>
        <w:jc w:val="center"/>
      </w:pPr>
      <w:r>
        <w:drawing>
          <wp:inline distT="0" distB="0" distL="0" distR="0" wp14:anchorId="30D05A2E" wp14:editId="29FE1735">
            <wp:extent cx="5943600" cy="2286000"/>
            <wp:effectExtent l="0" t="0" r="0" b="0"/>
            <wp:docPr id="1" name="Picture 1" descr="Graphical user interface, text, application, email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  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C36B4" w14:textId="414B65D7"/>
    <w:p w14:paraId="455CB5D1" w14:textId="6D56C89B">
      <w:pPr>
        <w:jc w:val="center"/>
        <w:rPr>
          <w:rFonts w:ascii="Arial" w:hAnsi="Arial" w:cs="Arial"/>
          <w:b/>
          <w:sz w:val="18"/>
        </w:rPr>
        <w:pStyle w:val="P68B1DB1-Normal2"/>
      </w:pPr>
      <w:r>
        <w:rPr>
          <w:b/>
        </w:rPr>
        <w:t xml:space="preserve">Figura 2: </w:t>
      </w:r>
      <w:r>
        <w:t xml:space="preserve">Os bloqueios nervosos periféricos oferecem vários benefícios perioperatórios para pacientes com fraturas de quadril</w:t>
      </w:r>
    </w:p>
    <w:p w14:paraId="79BF924E" w14:textId="10B7F9F5"/>
    <w:p w14:paraId="7FF332A3" w14:textId="2FEA983E"/>
    <w:p w14:paraId="55DF5445" w14:textId="73B0BB6C"/>
    <w:p w14:paraId="5E130EB3" w14:textId="77777777"/>
    <w:p w14:paraId="74C11F30" w14:textId="77777777">
      <w:pPr>
        <w:rPr>
          <w:b/>
        </w:rPr>
      </w:pPr>
    </w:p>
    <w:p w14:paraId="048EC9C4" w14:textId="454B6DC9">
      <w:pPr>
        <w:rPr>
          <w:b/>
        </w:rPr>
        <w:pStyle w:val="P68B1DB1-Normal1"/>
      </w:pPr>
      <w:r>
        <w:t>TABELAS</w:t>
      </w:r>
    </w:p>
    <w:p w14:paraId="5E5220A7" w14:textId="36EE2FD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94"/>
        <w:gridCol w:w="2338"/>
        <w:gridCol w:w="2338"/>
      </w:tblGrid>
      <w:tr w14:paraId="64506FE2" w14:textId="77777777">
        <w:tc>
          <w:tcPr>
            <w:tcW w:w="1980" w:type="dxa"/>
          </w:tcPr>
          <w:p w14:paraId="0FBB9BEF" w14:textId="777777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94" w:type="dxa"/>
          </w:tcPr>
          <w:p w14:paraId="2B59DD91" w14:textId="77777777">
            <w:pPr>
              <w:rPr>
                <w:rFonts w:ascii="Arial" w:hAnsi="Arial" w:cs="Arial"/>
                <w:b/>
                <w:sz w:val="18"/>
              </w:rPr>
              <w:pStyle w:val="P68B1DB1-Normal3"/>
            </w:pPr>
            <w:r>
              <w:t>Femoral</w:t>
            </w:r>
          </w:p>
        </w:tc>
        <w:tc>
          <w:tcPr>
            <w:tcW w:w="2338" w:type="dxa"/>
          </w:tcPr>
          <w:p w14:paraId="3195D0EE" w14:textId="77777777">
            <w:pPr>
              <w:rPr>
                <w:rFonts w:ascii="Arial" w:hAnsi="Arial" w:cs="Arial"/>
                <w:b/>
                <w:sz w:val="18"/>
              </w:rPr>
              <w:pStyle w:val="P68B1DB1-Normal3"/>
            </w:pPr>
            <w:r>
              <w:t xml:space="preserve">FIB </w:t>
            </w:r>
          </w:p>
        </w:tc>
        <w:tc>
          <w:tcPr>
            <w:tcW w:w="2338" w:type="dxa"/>
          </w:tcPr>
          <w:p w14:paraId="5B7CF85A" w14:textId="77777777">
            <w:pPr>
              <w:rPr>
                <w:rFonts w:ascii="Arial" w:hAnsi="Arial" w:cs="Arial"/>
                <w:b/>
                <w:sz w:val="18"/>
              </w:rPr>
              <w:pStyle w:val="P68B1DB1-Normal3"/>
            </w:pPr>
            <w:r>
              <w:t>PENG</w:t>
            </w:r>
          </w:p>
        </w:tc>
      </w:tr>
      <w:tr w14:paraId="65734BDA" w14:textId="77777777">
        <w:tc>
          <w:tcPr>
            <w:tcW w:w="1980" w:type="dxa"/>
          </w:tcPr>
          <w:p w14:paraId="7CE10D1C" w14:textId="77777777">
            <w:pPr>
              <w:rPr>
                <w:rFonts w:ascii="Arial" w:hAnsi="Arial" w:cs="Arial"/>
                <w:b/>
                <w:sz w:val="18"/>
              </w:rPr>
              <w:pStyle w:val="P68B1DB1-Normal3"/>
            </w:pPr>
            <w:r>
              <w:t xml:space="preserve">Eficácia analgésica</w:t>
            </w:r>
          </w:p>
        </w:tc>
        <w:tc>
          <w:tcPr>
            <w:tcW w:w="2694" w:type="dxa"/>
          </w:tcPr>
          <w:p w14:paraId="60C0ED78" w14:textId="77777777">
            <w:pPr>
              <w:rPr>
                <w:rFonts w:ascii="Arial" w:hAnsi="Arial" w:cs="Arial"/>
                <w:sz w:val="18"/>
              </w:rPr>
              <w:pStyle w:val="P68B1DB1-Normal2"/>
            </w:pPr>
            <w:r>
              <w:t>Eficaz</w:t>
            </w:r>
          </w:p>
          <w:p w14:paraId="64631000" w14:textId="77777777">
            <w:pPr>
              <w:rPr>
                <w:rFonts w:ascii="Arial" w:hAnsi="Arial" w:cs="Arial"/>
                <w:sz w:val="18"/>
              </w:rPr>
              <w:pStyle w:val="P68B1DB1-Normal2"/>
            </w:pPr>
            <w:r>
              <w:t xml:space="preserve">Bem apoiado por vários RCTs</w:t>
            </w:r>
          </w:p>
        </w:tc>
        <w:tc>
          <w:tcPr>
            <w:tcW w:w="2338" w:type="dxa"/>
          </w:tcPr>
          <w:p w14:paraId="4769B00F" w14:textId="77777777">
            <w:pPr>
              <w:rPr>
                <w:rFonts w:ascii="Arial" w:hAnsi="Arial" w:cs="Arial"/>
                <w:sz w:val="18"/>
              </w:rPr>
              <w:pStyle w:val="P68B1DB1-Normal2"/>
            </w:pPr>
            <w:r>
              <w:t>Eficaz</w:t>
            </w:r>
          </w:p>
          <w:p w14:paraId="3C94040B" w14:textId="77777777">
            <w:pPr>
              <w:rPr>
                <w:rFonts w:ascii="Arial" w:hAnsi="Arial" w:cs="Arial"/>
                <w:sz w:val="18"/>
              </w:rPr>
              <w:pStyle w:val="P68B1DB1-Normal2"/>
            </w:pPr>
            <w:r>
              <w:t xml:space="preserve">Bem apoiado por vários RCTs</w:t>
            </w:r>
          </w:p>
        </w:tc>
        <w:tc>
          <w:tcPr>
            <w:tcW w:w="2338" w:type="dxa"/>
          </w:tcPr>
          <w:p w14:paraId="156BF69C" w14:textId="77777777">
            <w:pPr>
              <w:rPr>
                <w:rFonts w:ascii="Arial" w:hAnsi="Arial" w:cs="Arial"/>
                <w:sz w:val="18"/>
              </w:rPr>
              <w:pStyle w:val="P68B1DB1-Normal2"/>
            </w:pPr>
            <w:r>
              <w:t>Eficaz</w:t>
            </w:r>
          </w:p>
          <w:p w14:paraId="69E085A0" w14:textId="77777777">
            <w:pPr>
              <w:rPr>
                <w:rFonts w:ascii="Arial" w:hAnsi="Arial" w:cs="Arial"/>
                <w:sz w:val="18"/>
              </w:rPr>
              <w:pStyle w:val="P68B1DB1-Normal2"/>
            </w:pPr>
            <w:r>
              <w:t xml:space="preserve">Apoiado por alguns RCTs.</w:t>
            </w:r>
          </w:p>
        </w:tc>
      </w:tr>
      <w:tr w14:paraId="1FC559F6" w14:textId="77777777">
        <w:tc>
          <w:tcPr>
            <w:tcW w:w="1980" w:type="dxa"/>
          </w:tcPr>
          <w:p w14:paraId="1331C649" w14:textId="77777777">
            <w:pPr>
              <w:rPr>
                <w:rFonts w:ascii="Arial" w:hAnsi="Arial" w:cs="Arial"/>
                <w:b/>
                <w:sz w:val="18"/>
              </w:rPr>
              <w:pStyle w:val="P68B1DB1-Normal3"/>
            </w:pPr>
            <w:r>
              <w:t xml:space="preserve">Risco do ÚLTIMO</w:t>
            </w:r>
          </w:p>
        </w:tc>
        <w:tc>
          <w:tcPr>
            <w:tcW w:w="2694" w:type="dxa"/>
          </w:tcPr>
          <w:p w14:paraId="77909B0F" w14:textId="77777777">
            <w:pPr>
              <w:rPr>
                <w:rFonts w:ascii="Arial" w:hAnsi="Arial" w:cs="Arial"/>
                <w:sz w:val="18"/>
              </w:rPr>
              <w:pStyle w:val="P68B1DB1-Normal2"/>
            </w:pPr>
            <w:r>
              <w:t xml:space="preserve">Menor volume e dose necessários para um bloqueio eficaz; no entanto, a proximidade dos vasos femorais aumenta o risco. Use ultra-som e aspiração frequente para reduzir o risco.</w:t>
            </w:r>
          </w:p>
        </w:tc>
        <w:tc>
          <w:tcPr>
            <w:tcW w:w="2338" w:type="dxa"/>
          </w:tcPr>
          <w:p w14:paraId="019985AA" w14:textId="77777777">
            <w:pPr>
              <w:rPr>
                <w:rFonts w:ascii="Arial" w:hAnsi="Arial" w:cs="Arial"/>
                <w:sz w:val="18"/>
              </w:rPr>
              <w:pStyle w:val="P68B1DB1-Normal2"/>
            </w:pPr>
            <w:r>
              <w:t xml:space="preserve">Maior volume e, portanto, a dose necessária para um bloqueio eficaz podem aumentar o risco.</w:t>
            </w:r>
          </w:p>
        </w:tc>
        <w:tc>
          <w:tcPr>
            <w:tcW w:w="2338" w:type="dxa"/>
          </w:tcPr>
          <w:p w14:paraId="79A97DEE" w14:textId="77777777">
            <w:pPr>
              <w:rPr>
                <w:rFonts w:ascii="Arial" w:hAnsi="Arial" w:cs="Arial"/>
                <w:sz w:val="18"/>
              </w:rPr>
              <w:pStyle w:val="P68B1DB1-Normal2"/>
            </w:pPr>
            <w:r>
              <w:t xml:space="preserve">Provavelmente de baixo risco.</w:t>
            </w:r>
          </w:p>
          <w:p w14:paraId="765115FC" w14:textId="77777777">
            <w:pPr>
              <w:rPr>
                <w:rFonts w:ascii="Arial" w:hAnsi="Arial" w:cs="Arial"/>
                <w:sz w:val="18"/>
              </w:rPr>
              <w:pStyle w:val="P68B1DB1-Normal2"/>
            </w:pPr>
            <w:r>
              <w:t xml:space="preserve">Baixo; dados de risco da literatura em falta</w:t>
            </w:r>
          </w:p>
        </w:tc>
      </w:tr>
      <w:tr w14:paraId="213F4361" w14:textId="77777777">
        <w:tc>
          <w:tcPr>
            <w:tcW w:w="1980" w:type="dxa"/>
          </w:tcPr>
          <w:p w14:paraId="7118FE1E" w14:textId="77777777">
            <w:pPr>
              <w:rPr>
                <w:rFonts w:ascii="Arial" w:hAnsi="Arial" w:cs="Arial"/>
                <w:b/>
                <w:sz w:val="18"/>
              </w:rPr>
              <w:pStyle w:val="P68B1DB1-Normal3"/>
            </w:pPr>
            <w:r>
              <w:t xml:space="preserve">Risco de fraqueza do quadríceps</w:t>
            </w:r>
          </w:p>
        </w:tc>
        <w:tc>
          <w:tcPr>
            <w:tcW w:w="2694" w:type="dxa"/>
          </w:tcPr>
          <w:p w14:paraId="66D9B73D" w14:textId="77777777">
            <w:pPr>
              <w:rPr>
                <w:rFonts w:ascii="Arial" w:hAnsi="Arial" w:cs="Arial"/>
                <w:sz w:val="18"/>
              </w:rPr>
              <w:pStyle w:val="P68B1DB1-Normal2"/>
            </w:pPr>
            <w:r>
              <w:t>Alto.</w:t>
            </w:r>
          </w:p>
        </w:tc>
        <w:tc>
          <w:tcPr>
            <w:tcW w:w="2338" w:type="dxa"/>
          </w:tcPr>
          <w:p w14:paraId="49578031" w14:textId="77777777">
            <w:pPr>
              <w:rPr>
                <w:rFonts w:ascii="Arial" w:hAnsi="Arial" w:cs="Arial"/>
                <w:sz w:val="18"/>
              </w:rPr>
              <w:pStyle w:val="P68B1DB1-Normal2"/>
            </w:pPr>
            <w:r>
              <w:t xml:space="preserve">Alto devido à disseminação para o nervo femoral</w:t>
            </w:r>
          </w:p>
        </w:tc>
        <w:tc>
          <w:tcPr>
            <w:tcW w:w="2338" w:type="dxa"/>
          </w:tcPr>
          <w:p w14:paraId="3CDDBA42" w14:textId="77777777">
            <w:pPr>
              <w:rPr>
                <w:rFonts w:ascii="Arial" w:hAnsi="Arial" w:cs="Arial"/>
                <w:sz w:val="18"/>
              </w:rPr>
              <w:pStyle w:val="P68B1DB1-Normal2"/>
            </w:pPr>
            <w:r>
              <w:t>Baixo.</w:t>
            </w:r>
          </w:p>
        </w:tc>
      </w:tr>
      <w:tr w14:paraId="0FFC0A05" w14:textId="77777777">
        <w:tc>
          <w:tcPr>
            <w:tcW w:w="1980" w:type="dxa"/>
          </w:tcPr>
          <w:p w14:paraId="1308AC12" w14:textId="77777777">
            <w:pPr>
              <w:rPr>
                <w:rFonts w:ascii="Arial" w:hAnsi="Arial" w:cs="Arial"/>
                <w:b/>
                <w:sz w:val="18"/>
              </w:rPr>
              <w:pStyle w:val="P68B1DB1-Normal3"/>
            </w:pPr>
            <w:r>
              <w:t xml:space="preserve">Risco de lesão vascular e sangramento</w:t>
            </w:r>
          </w:p>
        </w:tc>
        <w:tc>
          <w:tcPr>
            <w:tcW w:w="2694" w:type="dxa"/>
          </w:tcPr>
          <w:p w14:paraId="4EBDDB1F" w14:textId="77777777">
            <w:pPr>
              <w:rPr>
                <w:rFonts w:ascii="Arial" w:hAnsi="Arial" w:cs="Arial"/>
                <w:sz w:val="18"/>
              </w:rPr>
              <w:pStyle w:val="P68B1DB1-Normal2"/>
            </w:pPr>
            <w:r>
              <w:t xml:space="preserve">Maior devido à proximidade dos vasos femorais</w:t>
            </w:r>
          </w:p>
        </w:tc>
        <w:tc>
          <w:tcPr>
            <w:tcW w:w="2338" w:type="dxa"/>
          </w:tcPr>
          <w:p w14:paraId="648C1105" w14:textId="77777777">
            <w:pPr>
              <w:rPr>
                <w:rFonts w:ascii="Arial" w:hAnsi="Arial" w:cs="Arial"/>
                <w:sz w:val="18"/>
              </w:rPr>
              <w:pStyle w:val="P68B1DB1-Normal2"/>
            </w:pPr>
            <w:r>
              <w:t>Baixo.</w:t>
            </w:r>
          </w:p>
        </w:tc>
        <w:tc>
          <w:tcPr>
            <w:tcW w:w="2338" w:type="dxa"/>
          </w:tcPr>
          <w:p w14:paraId="6C75E812" w14:textId="77777777">
            <w:pPr>
              <w:rPr>
                <w:rFonts w:ascii="Arial" w:hAnsi="Arial" w:cs="Arial"/>
                <w:sz w:val="18"/>
              </w:rPr>
              <w:pStyle w:val="P68B1DB1-Normal2"/>
            </w:pPr>
            <w:r>
              <w:t xml:space="preserve">Provavelmente baixo, mas o alvo é mais profundo.</w:t>
            </w:r>
          </w:p>
          <w:p w14:paraId="0254F307" w14:textId="77777777">
            <w:pPr>
              <w:rPr>
                <w:rFonts w:ascii="Arial" w:hAnsi="Arial" w:cs="Arial"/>
                <w:sz w:val="18"/>
              </w:rPr>
              <w:pStyle w:val="P68B1DB1-Normal2"/>
            </w:pPr>
            <w:r>
              <w:t xml:space="preserve">Baixo; dados de risco da literatura em falta</w:t>
            </w:r>
          </w:p>
        </w:tc>
      </w:tr>
      <w:tr w14:paraId="50DD1431" w14:textId="77777777">
        <w:tc>
          <w:tcPr>
            <w:tcW w:w="1980" w:type="dxa"/>
          </w:tcPr>
          <w:p w14:paraId="53191751" w14:textId="77777777">
            <w:pPr>
              <w:rPr>
                <w:rFonts w:ascii="Arial" w:hAnsi="Arial" w:cs="Arial"/>
                <w:b/>
                <w:sz w:val="18"/>
              </w:rPr>
              <w:pStyle w:val="P68B1DB1-Normal3"/>
            </w:pPr>
            <w:r>
              <w:t xml:space="preserve">Risco de lesão nervosa</w:t>
            </w:r>
          </w:p>
        </w:tc>
        <w:tc>
          <w:tcPr>
            <w:tcW w:w="2694" w:type="dxa"/>
          </w:tcPr>
          <w:p w14:paraId="04A0636F" w14:textId="77777777">
            <w:pPr>
              <w:rPr>
                <w:rFonts w:ascii="Arial" w:hAnsi="Arial" w:cs="Arial"/>
                <w:sz w:val="18"/>
              </w:rPr>
              <w:pStyle w:val="P68B1DB1-Normal2"/>
            </w:pPr>
            <w:r>
              <w:t xml:space="preserve">Maior devido à proximidade com o nervo femoral</w:t>
            </w:r>
          </w:p>
        </w:tc>
        <w:tc>
          <w:tcPr>
            <w:tcW w:w="2338" w:type="dxa"/>
          </w:tcPr>
          <w:p w14:paraId="1813471C" w14:textId="77777777">
            <w:pPr>
              <w:rPr>
                <w:rFonts w:ascii="Arial" w:hAnsi="Arial" w:cs="Arial"/>
                <w:sz w:val="18"/>
              </w:rPr>
              <w:pStyle w:val="P68B1DB1-Normal2"/>
            </w:pPr>
            <w:r>
              <w:t>Baixo.</w:t>
            </w:r>
          </w:p>
        </w:tc>
        <w:tc>
          <w:tcPr>
            <w:tcW w:w="2338" w:type="dxa"/>
          </w:tcPr>
          <w:p w14:paraId="369BAFF9" w14:textId="77777777">
            <w:pPr>
              <w:rPr>
                <w:rFonts w:ascii="Arial" w:hAnsi="Arial" w:cs="Arial"/>
                <w:sz w:val="18"/>
              </w:rPr>
              <w:pStyle w:val="P68B1DB1-Normal2"/>
            </w:pPr>
            <w:r>
              <w:t>Baixo.</w:t>
            </w:r>
          </w:p>
          <w:p w14:paraId="0DBAC325" w14:textId="77777777">
            <w:pPr>
              <w:rPr>
                <w:rFonts w:ascii="Arial" w:hAnsi="Arial" w:cs="Arial"/>
                <w:sz w:val="18"/>
              </w:rPr>
              <w:pStyle w:val="P68B1DB1-Normal2"/>
            </w:pPr>
            <w:r>
              <w:t xml:space="preserve">Baixo; dados de risco da literatura em falta</w:t>
            </w:r>
          </w:p>
        </w:tc>
      </w:tr>
      <w:tr w14:paraId="25ABD0B8" w14:textId="77777777">
        <w:tc>
          <w:tcPr>
            <w:tcW w:w="1980" w:type="dxa"/>
          </w:tcPr>
          <w:p w14:paraId="4C5C8D04" w14:textId="77777777">
            <w:pPr>
              <w:rPr>
                <w:rFonts w:ascii="Arial" w:hAnsi="Arial" w:cs="Arial"/>
                <w:b/>
                <w:sz w:val="18"/>
              </w:rPr>
              <w:pStyle w:val="P68B1DB1-Normal3"/>
            </w:pPr>
            <w:r>
              <w:t xml:space="preserve">Cobertura cutânea</w:t>
            </w:r>
          </w:p>
        </w:tc>
        <w:tc>
          <w:tcPr>
            <w:tcW w:w="2694" w:type="dxa"/>
          </w:tcPr>
          <w:p w14:paraId="159ABDE7" w14:textId="77777777">
            <w:pPr>
              <w:rPr>
                <w:rFonts w:ascii="Arial" w:hAnsi="Arial" w:cs="Arial"/>
                <w:sz w:val="18"/>
              </w:rPr>
              <w:pStyle w:val="P68B1DB1-Normal2"/>
            </w:pPr>
            <w:r>
              <w:t xml:space="preserve">Pode poupar o nervo cutâneo femoral lateral dependendo da disseminação</w:t>
            </w:r>
          </w:p>
        </w:tc>
        <w:tc>
          <w:tcPr>
            <w:tcW w:w="2338" w:type="dxa"/>
          </w:tcPr>
          <w:p w14:paraId="6C740C86" w14:textId="77777777">
            <w:pPr>
              <w:rPr>
                <w:rFonts w:ascii="Arial" w:hAnsi="Arial" w:cs="Arial"/>
                <w:sz w:val="18"/>
              </w:rPr>
              <w:pStyle w:val="P68B1DB1-Normal2"/>
            </w:pPr>
            <w:r>
              <w:t xml:space="preserve">Inclui cobertura do nervo cutâneo femoral lateral</w:t>
            </w:r>
          </w:p>
        </w:tc>
        <w:tc>
          <w:tcPr>
            <w:tcW w:w="2338" w:type="dxa"/>
          </w:tcPr>
          <w:p w14:paraId="3B116711" w14:textId="77777777">
            <w:pPr>
              <w:rPr>
                <w:rFonts w:ascii="Arial" w:hAnsi="Arial" w:cs="Arial"/>
                <w:sz w:val="18"/>
              </w:rPr>
              <w:pStyle w:val="P68B1DB1-Normal2"/>
            </w:pPr>
            <w:r>
              <w:t xml:space="preserve">Inclui cobertura do nervo cutâneo femoral lateral</w:t>
            </w:r>
          </w:p>
        </w:tc>
      </w:tr>
    </w:tbl>
    <w:p w14:paraId="4B72D8A4" w14:textId="77777777">
      <w:pPr>
        <w:jc w:val="both"/>
        <w:rPr>
          <w:rFonts w:ascii="Arial" w:hAnsi="Arial" w:cs="Arial"/>
        </w:rPr>
      </w:pPr>
    </w:p>
    <w:p w14:paraId="0FEDF574" w14:textId="77777777">
      <w:pPr>
        <w:jc w:val="center"/>
        <w:rPr>
          <w:rFonts w:ascii="Arial" w:hAnsi="Arial" w:cs="Arial"/>
          <w:b/>
          <w:sz w:val="18"/>
        </w:rPr>
        <w:pStyle w:val="P68B1DB1-Normal2"/>
      </w:pPr>
      <w:r>
        <w:rPr>
          <w:b/>
        </w:rPr>
        <w:t xml:space="preserve">tabela 1:</w:t>
      </w:r>
      <w:r>
        <w:t xml:space="preserve">Comparação de três blocos nervosos periféricos principais usados na configuração de fratura de quadril.</w:t>
      </w:r>
    </w:p>
    <w:p w14:paraId="4752B319" w14:textId="77777777"/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58"/>
    <w:rsid w:val="000263C9"/>
    <w:rsid w:val="000C1467"/>
    <w:rsid w:val="00193522"/>
    <w:rsid w:val="001F3F58"/>
    <w:rsid w:val="00242092"/>
    <w:rsid w:val="0041700A"/>
    <w:rsid w:val="005A6759"/>
    <w:rsid w:val="009C5973"/>
    <w:rsid w:val="00BE2A92"/>
    <w:rsid w:val="00D14D4D"/>
    <w:rsid w:val="00EC6FD5"/>
    <w:rsid w:val="00ED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14B6F"/>
  <w15:chartTrackingRefBased/>
  <w15:docId w15:val="{B8A5ECE2-DBE8-9449-BE55-A5B976EE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/>
    <w:rPrDefault>
      <w:rPr>
        <w:rFonts w:asciiTheme="minorHAnsi" w:hAnsiTheme="minorHAnsi" w:cstheme="minorBidi" w:eastAsiaTheme="minorHAnsi"/>
        <w:sz w:val="24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68B1DB1-Normal1">
    <w:name w:val="P68B1DB1-Normal1"/>
    <w:basedOn w:val="Normal"/>
    <w:rPr>
      <w:b/>
    </w:rPr>
  </w:style>
  <w:style w:type="paragraph" w:styleId="P68B1DB1-Normal2">
    <w:name w:val="P68B1DB1-Normal2"/>
    <w:basedOn w:val="Normal"/>
    <w:rPr>
      <w:rFonts w:ascii="Arial" w:hAnsi="Arial" w:cs="Arial"/>
      <w:sz w:val="18"/>
    </w:rPr>
  </w:style>
  <w:style w:type="paragraph" w:styleId="P68B1DB1-Normal3">
    <w:name w:val="P68B1DB1-Normal3"/>
    <w:basedOn w:val="Normal"/>
    <w:rPr>
      <w:rFonts w:ascii="Arial" w:hAnsi="Arial" w:cs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F932ED62B9A47AD1548F009084528" ma:contentTypeVersion="16" ma:contentTypeDescription="Create a new document." ma:contentTypeScope="" ma:versionID="80ba5e24539e2807f96a863facd2f8a0">
  <xsd:schema xmlns:xsd="http://www.w3.org/2001/XMLSchema" xmlns:xs="http://www.w3.org/2001/XMLSchema" xmlns:p="http://schemas.microsoft.com/office/2006/metadata/properties" xmlns:ns2="de0503a7-e94b-4ab6-bd85-44d094c9d17e" xmlns:ns3="5bb87b72-ba1d-4f79-8ec1-b70cd0963129" targetNamespace="http://schemas.microsoft.com/office/2006/metadata/properties" ma:root="true" ma:fieldsID="060a905adf774b0eb271f523c5013e3c" ns2:_="" ns3:_="">
    <xsd:import namespace="de0503a7-e94b-4ab6-bd85-44d094c9d17e"/>
    <xsd:import namespace="5bb87b72-ba1d-4f79-8ec1-b70cd09631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503a7-e94b-4ab6-bd85-44d094c9d1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88e1a-ea4c-43cb-b247-ef7458f0eed2}" ma:internalName="TaxCatchAll" ma:showField="CatchAllData" ma:web="de0503a7-e94b-4ab6-bd85-44d094c9d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87b72-ba1d-4f79-8ec1-b70cd0963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cc1fbb-dda5-4ea9-8d98-0a98ce354c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87b72-ba1d-4f79-8ec1-b70cd0963129">
      <Terms xmlns="http://schemas.microsoft.com/office/infopath/2007/PartnerControls"/>
    </lcf76f155ced4ddcb4097134ff3c332f>
    <TaxCatchAll xmlns="de0503a7-e94b-4ab6-bd85-44d094c9d17e" xsi:nil="true"/>
  </documentManagement>
</p:properties>
</file>

<file path=customXml/itemProps1.xml><?xml version="1.0" encoding="utf-8"?>
<ds:datastoreItem xmlns:ds="http://schemas.openxmlformats.org/officeDocument/2006/customXml" ds:itemID="{81C5BD0C-ABAD-41E6-A04E-F48AE0D4AFF9}"/>
</file>

<file path=customXml/itemProps2.xml><?xml version="1.0" encoding="utf-8"?>
<ds:datastoreItem xmlns:ds="http://schemas.openxmlformats.org/officeDocument/2006/customXml" ds:itemID="{59773698-B87B-4880-83FE-9C2D5EEC35AA}"/>
</file>

<file path=customXml/itemProps3.xml><?xml version="1.0" encoding="utf-8"?>
<ds:datastoreItem xmlns:ds="http://schemas.openxmlformats.org/officeDocument/2006/customXml" ds:itemID="{34FB6AA6-03BE-4129-A931-FF6773DA82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Chen</dc:creator>
  <cp:keywords/>
  <dc:description/>
  <cp:lastModifiedBy>Lilaonitkul, Maytinee</cp:lastModifiedBy>
  <cp:revision>2</cp:revision>
  <dcterms:created xsi:type="dcterms:W3CDTF">2022-06-27T19:41:00Z</dcterms:created>
  <dcterms:modified xsi:type="dcterms:W3CDTF">2022-06-27T19:41:00Z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0x010100032F932ED62B9A47AD1548F009084528</vt:lpwstr>
  </property>
  <property fmtid="{D5CDD505-2E9C-101B-9397-08002B2CF9AE}" pid="3" name="MediaServiceImageTags">
    <vt:lpwstr/>
  </property>
</Properties>
</file>