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B99A" w14:textId="77777777" w:rsidR="00993F04" w:rsidRDefault="00993F04">
      <w:pPr>
        <w:spacing w:line="360" w:lineRule="auto"/>
        <w:rPr>
          <w:rFonts w:ascii="Arial" w:hAnsi="Arial" w:cs="Arial"/>
          <w:color w:val="FF0000"/>
          <w:sz w:val="18"/>
        </w:rPr>
      </w:pPr>
    </w:p>
    <w:p w14:paraId="05B31B25" w14:textId="77777777" w:rsidR="00993F04" w:rsidRDefault="00000000">
      <w:pPr>
        <w:pStyle w:val="P68B1DB1-Normal1"/>
        <w:outlineLvl w:val="0"/>
      </w:pPr>
      <w:r>
        <w:t>479 PERGUNTAS E RESPOSTAS</w:t>
      </w:r>
    </w:p>
    <w:p w14:paraId="432517E2" w14:textId="77777777" w:rsidR="00993F04" w:rsidRDefault="00993F04">
      <w:pPr>
        <w:rPr>
          <w:rFonts w:ascii="Arial" w:hAnsi="Arial" w:cs="Arial"/>
          <w:b/>
          <w:sz w:val="18"/>
        </w:rPr>
      </w:pPr>
    </w:p>
    <w:p w14:paraId="011210D9" w14:textId="77777777" w:rsidR="00993F04" w:rsidRDefault="00993F04">
      <w:pPr>
        <w:rPr>
          <w:rFonts w:ascii="Arial" w:hAnsi="Arial" w:cs="Arial"/>
          <w:sz w:val="18"/>
        </w:rPr>
      </w:pPr>
    </w:p>
    <w:p w14:paraId="2D1CFCD8" w14:textId="77777777" w:rsidR="00993F04" w:rsidRDefault="00993F04">
      <w:pPr>
        <w:rPr>
          <w:rFonts w:ascii="Arial" w:hAnsi="Arial" w:cs="Arial"/>
          <w:sz w:val="18"/>
        </w:rPr>
      </w:pPr>
    </w:p>
    <w:p w14:paraId="4C1CC429" w14:textId="77777777" w:rsidR="00993F04" w:rsidRDefault="00000000">
      <w:pPr>
        <w:pStyle w:val="P68B1DB1-ListParagraph2"/>
        <w:numPr>
          <w:ilvl w:val="0"/>
          <w:numId w:val="1"/>
        </w:numPr>
      </w:pPr>
      <w:r>
        <w:t>O vômito pós-operatório em crianças é raro, ocorrendo em &lt;10% dos pacientes</w:t>
      </w:r>
    </w:p>
    <w:p w14:paraId="069E2823" w14:textId="77777777" w:rsidR="00993F04" w:rsidRDefault="00000000">
      <w:pPr>
        <w:pStyle w:val="P68B1DB1-ListParagraph2"/>
      </w:pPr>
      <w:r>
        <w:t>Incidência falsa é de 13-42%, o que é mais comum do que em adultos.</w:t>
      </w:r>
    </w:p>
    <w:p w14:paraId="7C766A3A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65D63704" w14:textId="77777777" w:rsidR="00993F04" w:rsidRDefault="00000000">
      <w:pPr>
        <w:pStyle w:val="P68B1DB1-ListParagraph3"/>
        <w:numPr>
          <w:ilvl w:val="0"/>
          <w:numId w:val="1"/>
        </w:numPr>
      </w:pPr>
      <w:r>
        <w:t>O tipo de cirurgia pode afetar o risco de POV</w:t>
      </w:r>
    </w:p>
    <w:p w14:paraId="66098FB5" w14:textId="77777777" w:rsidR="00993F04" w:rsidRDefault="00000000">
      <w:pPr>
        <w:pStyle w:val="P68B1DB1-Normal4"/>
        <w:ind w:left="720"/>
      </w:pPr>
      <w:r>
        <w:t>Verdadeiro – Adenotonsilectomia, cirurgia de estrabismo, otoplastia ou duração &gt;30 minutos aumentam o risco de POV</w:t>
      </w:r>
    </w:p>
    <w:p w14:paraId="17DB0B3E" w14:textId="77777777" w:rsidR="00993F04" w:rsidRDefault="00993F04">
      <w:pPr>
        <w:ind w:left="720"/>
        <w:rPr>
          <w:rFonts w:ascii="Arial" w:hAnsi="Arial" w:cs="Arial"/>
          <w:sz w:val="18"/>
        </w:rPr>
      </w:pPr>
    </w:p>
    <w:p w14:paraId="494AFFFF" w14:textId="77777777" w:rsidR="00993F04" w:rsidRDefault="00000000">
      <w:pPr>
        <w:pStyle w:val="P68B1DB1-ListParagraph3"/>
        <w:numPr>
          <w:ilvl w:val="0"/>
          <w:numId w:val="1"/>
        </w:numPr>
      </w:pPr>
      <w:r>
        <w:t xml:space="preserve">Crianças com </w:t>
      </w:r>
      <w:r>
        <w:sym w:font="Symbol" w:char="F0B3"/>
      </w:r>
      <w:r>
        <w:t xml:space="preserve"> 3 anos de idade estão em maior risco de POV em comparação com crianças mais jovens</w:t>
      </w:r>
    </w:p>
    <w:p w14:paraId="5D4BB57F" w14:textId="6B65783A" w:rsidR="00993F04" w:rsidRDefault="00000000">
      <w:pPr>
        <w:pStyle w:val="P68B1DB1-Normal4"/>
        <w:ind w:firstLine="720"/>
      </w:pPr>
      <w:r>
        <w:t>Verdadeir</w:t>
      </w:r>
      <w:r w:rsidR="000709C2">
        <w:t>o</w:t>
      </w:r>
    </w:p>
    <w:p w14:paraId="3C7EBD80" w14:textId="77777777" w:rsidR="00993F04" w:rsidRDefault="00993F04">
      <w:pPr>
        <w:rPr>
          <w:rFonts w:ascii="Arial" w:hAnsi="Arial" w:cs="Arial"/>
          <w:sz w:val="18"/>
        </w:rPr>
      </w:pPr>
    </w:p>
    <w:p w14:paraId="6538B4B5" w14:textId="77777777" w:rsidR="00993F04" w:rsidRDefault="00000000">
      <w:pPr>
        <w:pStyle w:val="P68B1DB1-ListParagraph3"/>
        <w:numPr>
          <w:ilvl w:val="0"/>
          <w:numId w:val="1"/>
        </w:numPr>
      </w:pPr>
      <w:r>
        <w:t>Meninas e meninos estão em risco igual de POV</w:t>
      </w:r>
    </w:p>
    <w:p w14:paraId="4B798275" w14:textId="77777777" w:rsidR="00993F04" w:rsidRDefault="00000000">
      <w:pPr>
        <w:pStyle w:val="P68B1DB1-Normal4"/>
        <w:ind w:left="720"/>
      </w:pPr>
      <w:r>
        <w:t>Falso – Antes da puberdade, o risco é o mesmo, mas o risco diverge após a puberdade, com as meninas pós-púberes estando em maior risco.</w:t>
      </w:r>
    </w:p>
    <w:p w14:paraId="0F8EA244" w14:textId="77777777" w:rsidR="00993F04" w:rsidRDefault="00993F04">
      <w:pPr>
        <w:ind w:left="720"/>
        <w:rPr>
          <w:rFonts w:ascii="Arial" w:hAnsi="Arial" w:cs="Arial"/>
          <w:sz w:val="18"/>
        </w:rPr>
      </w:pPr>
    </w:p>
    <w:p w14:paraId="6DF3C36C" w14:textId="77777777" w:rsidR="00993F04" w:rsidRDefault="00993F04">
      <w:pPr>
        <w:rPr>
          <w:rFonts w:ascii="Arial" w:hAnsi="Arial" w:cs="Arial"/>
          <w:sz w:val="18"/>
        </w:rPr>
      </w:pPr>
    </w:p>
    <w:p w14:paraId="3B9CF355" w14:textId="77777777" w:rsidR="00993F04" w:rsidRDefault="00000000">
      <w:pPr>
        <w:pStyle w:val="P68B1DB1-ListParagraph3"/>
        <w:numPr>
          <w:ilvl w:val="0"/>
          <w:numId w:val="1"/>
        </w:numPr>
      </w:pPr>
      <w:r>
        <w:t>Agentes voláteis não aumentam o risco de POV em crianças</w:t>
      </w:r>
    </w:p>
    <w:p w14:paraId="0F2FC957" w14:textId="77777777" w:rsidR="00993F04" w:rsidRDefault="00000000">
      <w:pPr>
        <w:pStyle w:val="P68B1DB1-ListParagraph3"/>
      </w:pPr>
      <w:r>
        <w:t>Falso – Agentes voláteis aumentam o risco de POV em crianças.</w:t>
      </w:r>
    </w:p>
    <w:p w14:paraId="374BD0B1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7291F814" w14:textId="77777777" w:rsidR="00993F04" w:rsidRDefault="00000000">
      <w:pPr>
        <w:pStyle w:val="P68B1DB1-ListParagraph3"/>
        <w:numPr>
          <w:ilvl w:val="0"/>
          <w:numId w:val="1"/>
        </w:numPr>
      </w:pPr>
      <w:r>
        <w:t>A TIVA pode predispor pacientes pediátricos à bradicardia durante cirurgia oftálmica</w:t>
      </w:r>
    </w:p>
    <w:p w14:paraId="64E7190A" w14:textId="77777777" w:rsidR="00993F04" w:rsidRDefault="00000000">
      <w:pPr>
        <w:pStyle w:val="P68B1DB1-Normal4"/>
        <w:ind w:left="720"/>
      </w:pPr>
      <w:r>
        <w:t>Verdadeiro – A incidência de reflexo oculocardíaco é aumentada com o uso de AIVT.</w:t>
      </w:r>
    </w:p>
    <w:p w14:paraId="10B8858E" w14:textId="77777777" w:rsidR="00993F04" w:rsidRDefault="00993F04">
      <w:pPr>
        <w:ind w:left="720"/>
        <w:rPr>
          <w:rFonts w:ascii="Arial" w:hAnsi="Arial" w:cs="Arial"/>
          <w:sz w:val="18"/>
        </w:rPr>
      </w:pPr>
    </w:p>
    <w:p w14:paraId="11E841CD" w14:textId="77777777" w:rsidR="00993F04" w:rsidRDefault="00000000">
      <w:pPr>
        <w:pStyle w:val="P68B1DB1-ListParagraph3"/>
        <w:numPr>
          <w:ilvl w:val="0"/>
          <w:numId w:val="1"/>
        </w:numPr>
      </w:pPr>
      <w:r>
        <w:t>A morfina está associada à redução do POV</w:t>
      </w:r>
    </w:p>
    <w:p w14:paraId="16310534" w14:textId="77777777" w:rsidR="00993F04" w:rsidRDefault="00000000">
      <w:pPr>
        <w:pStyle w:val="P68B1DB1-ListParagraph3"/>
      </w:pPr>
      <w:r>
        <w:t>Falso – Os opiáceos de ação prolongada devem ser evitados em pacientes de alto risco, com preferência por técnicas de preservação de opiáceos (ou seja, bloqueios regionais, analgésicos alternativos)</w:t>
      </w:r>
    </w:p>
    <w:p w14:paraId="71A16A6A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587C4C22" w14:textId="77777777" w:rsidR="00993F04" w:rsidRDefault="00000000">
      <w:pPr>
        <w:pStyle w:val="P68B1DB1-ListParagraph3"/>
        <w:numPr>
          <w:ilvl w:val="0"/>
          <w:numId w:val="1"/>
        </w:numPr>
      </w:pPr>
      <w:r>
        <w:t>A zona de disparo do quimiorreceptor está localizada fora da barreira hematoencefálica</w:t>
      </w:r>
    </w:p>
    <w:p w14:paraId="33819649" w14:textId="77777777" w:rsidR="00993F04" w:rsidRDefault="00000000">
      <w:pPr>
        <w:pStyle w:val="P68B1DB1-ListParagraph3"/>
      </w:pPr>
      <w:r>
        <w:t>Verdadeiro – Localiza-se na área pós-rema, no piso do</w:t>
      </w:r>
      <w:r>
        <w:rPr>
          <w:vertAlign w:val="superscript"/>
        </w:rPr>
        <w:t xml:space="preserve"> 4º</w:t>
      </w:r>
      <w:r>
        <w:t xml:space="preserve"> ventrículo</w:t>
      </w:r>
    </w:p>
    <w:p w14:paraId="0D6F3182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7DCB0A89" w14:textId="77777777" w:rsidR="00993F04" w:rsidRDefault="00000000">
      <w:pPr>
        <w:pStyle w:val="P68B1DB1-ListParagraph3"/>
        <w:numPr>
          <w:ilvl w:val="0"/>
          <w:numId w:val="1"/>
        </w:numPr>
      </w:pPr>
      <w:r>
        <w:t>A ondansetrona antagoniza os receptores 5-HT</w:t>
      </w:r>
      <w:r>
        <w:rPr>
          <w:vertAlign w:val="subscript"/>
        </w:rPr>
        <w:t>2</w:t>
      </w:r>
      <w:r>
        <w:t>no centro do vômito</w:t>
      </w:r>
    </w:p>
    <w:p w14:paraId="71602074" w14:textId="77777777" w:rsidR="00993F04" w:rsidRDefault="00000000">
      <w:pPr>
        <w:pStyle w:val="P68B1DB1-ListParagraph3"/>
        <w:tabs>
          <w:tab w:val="left" w:pos="7545"/>
        </w:tabs>
      </w:pPr>
      <w:r>
        <w:t>Falso – Antagoniza os receptores5-HT</w:t>
      </w:r>
      <w:r>
        <w:rPr>
          <w:vertAlign w:val="subscript"/>
        </w:rPr>
        <w:t>3</w:t>
      </w:r>
      <w:r>
        <w:t xml:space="preserve"> localizados na zona de gatilho do quimiorreceptor e nos aferentes vagais que inervam o intestino</w:t>
      </w:r>
    </w:p>
    <w:p w14:paraId="0FC9F78E" w14:textId="77777777" w:rsidR="00993F04" w:rsidRDefault="00993F04">
      <w:pPr>
        <w:pStyle w:val="PargrafodaLista"/>
        <w:tabs>
          <w:tab w:val="left" w:pos="7545"/>
        </w:tabs>
        <w:rPr>
          <w:rFonts w:ascii="Arial" w:hAnsi="Arial" w:cs="Arial"/>
          <w:sz w:val="18"/>
        </w:rPr>
      </w:pPr>
    </w:p>
    <w:p w14:paraId="522ACE56" w14:textId="77777777" w:rsidR="00993F04" w:rsidRDefault="00993F04">
      <w:pPr>
        <w:rPr>
          <w:rFonts w:ascii="Arial" w:hAnsi="Arial" w:cs="Arial"/>
          <w:sz w:val="18"/>
        </w:rPr>
      </w:pPr>
    </w:p>
    <w:p w14:paraId="4F3AAB95" w14:textId="77777777" w:rsidR="00993F04" w:rsidRDefault="00000000">
      <w:pPr>
        <w:pStyle w:val="P68B1DB1-ListParagraph3"/>
        <w:numPr>
          <w:ilvl w:val="0"/>
          <w:numId w:val="1"/>
        </w:numPr>
      </w:pPr>
      <w:r>
        <w:t>A ondansetrona é contraindicada na síndrome do QT longo (LQTS)</w:t>
      </w:r>
    </w:p>
    <w:p w14:paraId="18D55404" w14:textId="77777777" w:rsidR="00993F04" w:rsidRDefault="00000000">
      <w:pPr>
        <w:pStyle w:val="P68B1DB1-ListParagraph3"/>
      </w:pPr>
      <w:r>
        <w:t>Verdadeiro – A ondansetrona pode prolongar o intervalo QT e, portanto, seu uso é contraindicado em pacientes com SQTL</w:t>
      </w:r>
    </w:p>
    <w:p w14:paraId="4B04CB9C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1203F551" w14:textId="77777777" w:rsidR="00993F04" w:rsidRDefault="00000000">
      <w:pPr>
        <w:pStyle w:val="P68B1DB1-ListParagraph3"/>
        <w:numPr>
          <w:ilvl w:val="0"/>
          <w:numId w:val="1"/>
        </w:numPr>
      </w:pPr>
      <w:r>
        <w:t>A dose de ondansetrona é de 0,01mg/kg</w:t>
      </w:r>
    </w:p>
    <w:p w14:paraId="3CE6EF81" w14:textId="77777777" w:rsidR="00993F04" w:rsidRDefault="00000000">
      <w:pPr>
        <w:pStyle w:val="P68B1DB1-Normal4"/>
        <w:ind w:left="720"/>
      </w:pPr>
      <w:r>
        <w:t>Falso – O intervalo de dosagem varia entre 0,05-0,15 mg/kg</w:t>
      </w:r>
    </w:p>
    <w:p w14:paraId="027F01DB" w14:textId="77777777" w:rsidR="00993F04" w:rsidRDefault="00993F04">
      <w:pPr>
        <w:ind w:left="720"/>
        <w:rPr>
          <w:rFonts w:ascii="Arial" w:hAnsi="Arial" w:cs="Arial"/>
          <w:sz w:val="18"/>
        </w:rPr>
      </w:pPr>
    </w:p>
    <w:p w14:paraId="5D76E7CD" w14:textId="77777777" w:rsidR="00993F04" w:rsidRDefault="00000000">
      <w:pPr>
        <w:pStyle w:val="P68B1DB1-ListParagraph3"/>
        <w:numPr>
          <w:ilvl w:val="0"/>
          <w:numId w:val="1"/>
        </w:numPr>
      </w:pPr>
      <w:r>
        <w:t>A ondansetrona intravenosa é superior à oral</w:t>
      </w:r>
    </w:p>
    <w:p w14:paraId="35A79AFD" w14:textId="77777777" w:rsidR="00993F04" w:rsidRDefault="00000000">
      <w:pPr>
        <w:pStyle w:val="P68B1DB1-ListParagraph3"/>
      </w:pPr>
      <w:r>
        <w:t>Falso – Evidências sugerem que a eficácia é semelhante, embora um paciente com vômito possa não tolerar a preparação oral</w:t>
      </w:r>
    </w:p>
    <w:p w14:paraId="79F19B85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44E845B0" w14:textId="77777777" w:rsidR="00993F04" w:rsidRDefault="00000000">
      <w:pPr>
        <w:pStyle w:val="P68B1DB1-ListParagraph3"/>
        <w:numPr>
          <w:ilvl w:val="0"/>
          <w:numId w:val="1"/>
        </w:numPr>
      </w:pPr>
      <w:r>
        <w:t>A metoclopramida é um antagonista D2 de ação central</w:t>
      </w:r>
    </w:p>
    <w:p w14:paraId="1DC63AE5" w14:textId="69ED08F0" w:rsidR="00993F04" w:rsidRDefault="00000000">
      <w:pPr>
        <w:pStyle w:val="P68B1DB1-ListParagraph3"/>
      </w:pPr>
      <w:r>
        <w:t>Verdadeir</w:t>
      </w:r>
      <w:r w:rsidR="000709C2">
        <w:t>o</w:t>
      </w:r>
    </w:p>
    <w:p w14:paraId="58CE2161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76E37D4C" w14:textId="77777777" w:rsidR="00993F04" w:rsidRDefault="00000000">
      <w:pPr>
        <w:pStyle w:val="P68B1DB1-ListParagraph3"/>
        <w:numPr>
          <w:ilvl w:val="0"/>
          <w:numId w:val="1"/>
        </w:numPr>
      </w:pPr>
      <w:r>
        <w:t>As crianças estão em maior risco de efeitos colaterais extrapiramidais com metoclopramida, em comparação com adultos</w:t>
      </w:r>
    </w:p>
    <w:p w14:paraId="104ABE81" w14:textId="77777777" w:rsidR="00993F04" w:rsidRDefault="00000000">
      <w:pPr>
        <w:pStyle w:val="P68B1DB1-ListParagraph3"/>
      </w:pPr>
      <w:r>
        <w:t>Verdadeiro - Embora os idosos estejam em maior risco de discinesia tardia. Os riscos são aumentados com doses maiores e tratamento prolongado, portanto, a Agência Europeia de Medicamentos recomenda seu uso apenas como agente de segunda linha, por não mais de 5 dias, e não deve ser usado em crianças menores de 1 ano de idade.</w:t>
      </w:r>
    </w:p>
    <w:p w14:paraId="1E7B11F0" w14:textId="77777777" w:rsidR="00993F04" w:rsidRDefault="00000000">
      <w:pPr>
        <w:pStyle w:val="P68B1DB1-ListParagraph3"/>
      </w:pPr>
      <w:r>
        <w:t xml:space="preserve"> </w:t>
      </w:r>
    </w:p>
    <w:p w14:paraId="726BEB11" w14:textId="77777777" w:rsidR="00993F04" w:rsidRDefault="00000000">
      <w:pPr>
        <w:pStyle w:val="P68B1DB1-ListParagraph3"/>
        <w:numPr>
          <w:ilvl w:val="0"/>
          <w:numId w:val="1"/>
        </w:numPr>
      </w:pPr>
      <w:r>
        <w:t xml:space="preserve">A metoclopramida é mais eficaz do que a ondansetrona para prevenir e tratar o POV </w:t>
      </w:r>
    </w:p>
    <w:p w14:paraId="3125E4EF" w14:textId="77777777" w:rsidR="00993F04" w:rsidRDefault="00000000">
      <w:pPr>
        <w:pStyle w:val="P68B1DB1-ListParagraph3"/>
      </w:pPr>
      <w:r>
        <w:t>Falso</w:t>
      </w:r>
    </w:p>
    <w:p w14:paraId="15CC851C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621B464E" w14:textId="77777777" w:rsidR="00993F04" w:rsidRDefault="00000000">
      <w:pPr>
        <w:pStyle w:val="P68B1DB1-ListParagraph3"/>
        <w:numPr>
          <w:ilvl w:val="0"/>
          <w:numId w:val="1"/>
        </w:numPr>
      </w:pPr>
      <w:r>
        <w:lastRenderedPageBreak/>
        <w:t>A dexametasona é contraindicada em pessoas em risco de Síndrome de Lise Tumoral</w:t>
      </w:r>
    </w:p>
    <w:p w14:paraId="4B6514F2" w14:textId="77777777" w:rsidR="00993F04" w:rsidRDefault="00000000">
      <w:pPr>
        <w:pStyle w:val="P68B1DB1-ListParagraph3"/>
      </w:pPr>
      <w:r>
        <w:t xml:space="preserve">Verdadeiro – A administração de dexametasona pode precipitar a síndrome de lise tumoral (desarranjo metabólico e eletrolítico devido à degradação das células tumorais) </w:t>
      </w:r>
    </w:p>
    <w:p w14:paraId="7FE1765B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07867739" w14:textId="77777777" w:rsidR="00993F04" w:rsidRDefault="00000000">
      <w:pPr>
        <w:pStyle w:val="P68B1DB1-ListParagraph3"/>
        <w:numPr>
          <w:ilvl w:val="0"/>
          <w:numId w:val="1"/>
        </w:numPr>
      </w:pPr>
      <w:r>
        <w:t>A ondansetrona é mais eficaz do que a ciclizina na prevenção e tratamento de POV</w:t>
      </w:r>
    </w:p>
    <w:p w14:paraId="4C988A6A" w14:textId="36E1CFCB" w:rsidR="00993F04" w:rsidRDefault="000709C2">
      <w:pPr>
        <w:pStyle w:val="P68B1DB1-ListParagraph3"/>
      </w:pPr>
      <w:r>
        <w:t>Verdadeiro</w:t>
      </w:r>
      <w:r w:rsidR="00FE210D">
        <w:t>-</w:t>
      </w:r>
      <w:proofErr w:type="spellStart"/>
      <w:r w:rsidR="00000000">
        <w:t>Ciclizina</w:t>
      </w:r>
      <w:proofErr w:type="spellEnd"/>
      <w:r w:rsidR="00000000">
        <w:t xml:space="preserve"> não é recomendada para pacientes pediátricos</w:t>
      </w:r>
    </w:p>
    <w:p w14:paraId="1302F401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735788A0" w14:textId="77777777" w:rsidR="00993F04" w:rsidRDefault="00000000">
      <w:pPr>
        <w:pStyle w:val="P68B1DB1-ListParagraph3"/>
        <w:numPr>
          <w:ilvl w:val="0"/>
          <w:numId w:val="1"/>
        </w:numPr>
      </w:pPr>
      <w:r>
        <w:t>O droperidol é um agonista de D2</w:t>
      </w:r>
    </w:p>
    <w:p w14:paraId="00216029" w14:textId="77777777" w:rsidR="00993F04" w:rsidRDefault="00000000">
      <w:pPr>
        <w:pStyle w:val="P68B1DB1-ListParagraph3"/>
      </w:pPr>
      <w:r>
        <w:t xml:space="preserve">Falso – Droperidol é um antagonista de D2. </w:t>
      </w:r>
    </w:p>
    <w:p w14:paraId="1B72A617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185A85BE" w14:textId="77777777" w:rsidR="00993F04" w:rsidRDefault="00000000">
      <w:pPr>
        <w:pStyle w:val="P68B1DB1-ListParagraph3"/>
        <w:numPr>
          <w:ilvl w:val="0"/>
          <w:numId w:val="1"/>
        </w:numPr>
      </w:pPr>
      <w:r>
        <w:t>A administração de ondansetrona e dexametasona é melhor na prevenção de POV do que ondansetrona ou dexametasona isoladamente</w:t>
      </w:r>
    </w:p>
    <w:p w14:paraId="63C99387" w14:textId="77777777" w:rsidR="00993F04" w:rsidRDefault="00000000">
      <w:pPr>
        <w:pStyle w:val="P68B1DB1-ListParagraph3"/>
      </w:pPr>
      <w:r>
        <w:t>Verdadeiro</w:t>
      </w:r>
    </w:p>
    <w:p w14:paraId="472D8326" w14:textId="77777777" w:rsidR="00993F04" w:rsidRDefault="00993F04">
      <w:pPr>
        <w:pStyle w:val="PargrafodaLista"/>
        <w:rPr>
          <w:rFonts w:ascii="Arial" w:hAnsi="Arial" w:cs="Arial"/>
          <w:sz w:val="18"/>
        </w:rPr>
      </w:pPr>
    </w:p>
    <w:p w14:paraId="380D323B" w14:textId="77777777" w:rsidR="00993F04" w:rsidRDefault="00000000">
      <w:pPr>
        <w:pStyle w:val="P68B1DB1-ListParagraph3"/>
        <w:numPr>
          <w:ilvl w:val="0"/>
          <w:numId w:val="1"/>
        </w:numPr>
      </w:pPr>
      <w:r>
        <w:t>Acupuntura pode ajudar a prevenir POV</w:t>
      </w:r>
    </w:p>
    <w:p w14:paraId="6D4CCAB6" w14:textId="77777777" w:rsidR="00993F04" w:rsidRDefault="00000000">
      <w:pPr>
        <w:pStyle w:val="P68B1DB1-ListParagraph3"/>
      </w:pPr>
      <w:r>
        <w:t xml:space="preserve">Verdadeiro - A acupuntura tem eficácia semelhante à profilaxia com medicamentos </w:t>
      </w:r>
    </w:p>
    <w:p w14:paraId="73846195" w14:textId="77777777" w:rsidR="00993F04" w:rsidRDefault="00993F04"/>
    <w:sectPr w:rsidR="00993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60143"/>
    <w:multiLevelType w:val="multilevel"/>
    <w:tmpl w:val="4BF0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57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6E"/>
    <w:rsid w:val="000017E5"/>
    <w:rsid w:val="000709C2"/>
    <w:rsid w:val="0030711F"/>
    <w:rsid w:val="00993F04"/>
    <w:rsid w:val="00A2275B"/>
    <w:rsid w:val="00BC396E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F20F"/>
  <w15:chartTrackingRefBased/>
  <w15:docId w15:val="{B04A8027-1B51-D245-915B-B43B1960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6E"/>
    <w:rPr>
      <w:rFonts w:ascii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96E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Arial" w:hAnsi="Arial" w:cs="Arial"/>
      <w:b/>
      <w:sz w:val="18"/>
    </w:rPr>
  </w:style>
  <w:style w:type="paragraph" w:customStyle="1" w:styleId="P68B1DB1-ListParagraph2">
    <w:name w:val="P68B1DB1-ListParagraph2"/>
    <w:basedOn w:val="PargrafodaLista"/>
    <w:rPr>
      <w:rFonts w:ascii="Arial" w:hAnsi="Arial" w:cs="Arial"/>
      <w:sz w:val="18"/>
      <w:highlight w:val="lightGray"/>
    </w:rPr>
  </w:style>
  <w:style w:type="paragraph" w:customStyle="1" w:styleId="P68B1DB1-ListParagraph3">
    <w:name w:val="P68B1DB1-ListParagraph3"/>
    <w:basedOn w:val="PargrafodaLista"/>
    <w:rPr>
      <w:rFonts w:ascii="Arial" w:hAnsi="Arial" w:cs="Arial"/>
      <w:sz w:val="18"/>
    </w:rPr>
  </w:style>
  <w:style w:type="paragraph" w:customStyle="1" w:styleId="P68B1DB1-Normal4">
    <w:name w:val="P68B1DB1-Normal4"/>
    <w:basedOn w:val="Normal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9B1FA68F-BEBB-4E8E-9F7F-4C75E95F3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B8154-A6D8-41D7-8B26-33EF3D0D8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EE7DB-58B6-4EB5-B096-872DCB43A05D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Lilaonitkul, Maytinee</dc:creator>
  <cp:keywords/>
  <dc:description/>
  <cp:lastModifiedBy>Natalia Mancuso</cp:lastModifiedBy>
  <cp:revision>4</cp:revision>
  <dcterms:created xsi:type="dcterms:W3CDTF">2022-06-23T06:31:00Z</dcterms:created>
  <dcterms:modified xsi:type="dcterms:W3CDTF">2023-04-20T20:02:00Z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/>
  </property>
</Properties>
</file>