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B5C2" w14:textId="77777777">
      <w:pPr>
        <w:spacing w:line="240" w:lineRule="auto"/>
        <w:rPr>
          <w:rFonts w:ascii="Arial" w:hAnsi="Arial" w:cs="Arial"/>
          <w:b/>
          <w:sz w:val="20"/>
          <w:u w:val="single"/>
        </w:rPr>
        <w:pStyle w:val="P68B1DB1-Normal1"/>
      </w:pPr>
      <w:r>
        <w:t xml:space="preserve">480 PERGUNTAS – VERDADEIRO/FALSO</w:t>
      </w:r>
    </w:p>
    <w:p w14:paraId="5BB7B64E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nervo zigomático-temporal é um ramo do ramo mandibular do nervo trigêmeo.</w:t>
      </w:r>
    </w:p>
    <w:p w14:paraId="31D9BE94" w14:textId="77777777">
      <w:pPr>
        <w:pStyle w:val="ListParagraph"/>
        <w:spacing w:after="0" w:line="240" w:lineRule="auto"/>
        <w:ind w:left="0"/>
        <w:rPr>
          <w:rFonts w:ascii="Arial" w:hAnsi="Arial" w:cs="Arial"/>
          <w:sz w:val="18"/>
        </w:rPr>
      </w:pPr>
    </w:p>
    <w:p w14:paraId="0971115B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nervo auriculotemporal é um ramo do ramo mandibular do nervo trigêmeo.</w:t>
      </w:r>
    </w:p>
    <w:p w14:paraId="51B37E83" w14:textId="77777777">
      <w:pPr>
        <w:pStyle w:val="ListParagraph"/>
        <w:spacing w:after="0" w:line="240" w:lineRule="auto"/>
        <w:ind w:left="0"/>
        <w:rPr>
          <w:rFonts w:ascii="Arial" w:hAnsi="Arial" w:cs="Arial"/>
          <w:sz w:val="18"/>
        </w:rPr>
      </w:pPr>
    </w:p>
    <w:p w14:paraId="6E09591B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Os nervos cervicais C2-C4 são direcionados no bloco do couro cabeludo.</w:t>
      </w:r>
    </w:p>
    <w:p w14:paraId="77AC41C3" w14:textId="77777777">
      <w:pPr>
        <w:spacing w:after="0" w:line="240" w:lineRule="auto"/>
        <w:rPr>
          <w:rFonts w:ascii="Arial" w:hAnsi="Arial" w:cs="Arial"/>
          <w:sz w:val="18"/>
        </w:rPr>
      </w:pPr>
    </w:p>
    <w:p w14:paraId="2663D7D8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A concentração de epinefrina adicionada é uma solução de 1:1000.</w:t>
      </w:r>
    </w:p>
    <w:p w14:paraId="5F5C32A3" w14:textId="77777777">
      <w:pPr>
        <w:pStyle w:val="ListParagraph"/>
        <w:spacing w:after="0" w:line="240" w:lineRule="auto"/>
        <w:ind w:left="0"/>
        <w:rPr>
          <w:rFonts w:ascii="Arial" w:hAnsi="Arial" w:cs="Arial"/>
          <w:sz w:val="18"/>
        </w:rPr>
      </w:pPr>
    </w:p>
    <w:p w14:paraId="6F0F87C1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A epinefrina é adicionada ao LA para reduzir as chances de toxicidade do LA.</w:t>
      </w:r>
    </w:p>
    <w:p w14:paraId="41D7F092" w14:textId="77777777">
      <w:pPr>
        <w:spacing w:after="0" w:line="240" w:lineRule="auto"/>
        <w:rPr>
          <w:rFonts w:ascii="Arial" w:hAnsi="Arial" w:cs="Arial"/>
          <w:sz w:val="18"/>
        </w:rPr>
      </w:pPr>
    </w:p>
    <w:p w14:paraId="1434FBD1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Recomenda-se adicionar 5mcg/ml de epinefrina ao LA quando usado para bloqueio do couro cabeludo em pediatria.</w:t>
      </w:r>
    </w:p>
    <w:p w14:paraId="4FAD2E2F" w14:textId="77777777">
      <w:pPr>
        <w:pStyle w:val="ListParagraph"/>
        <w:spacing w:after="0" w:line="240" w:lineRule="auto"/>
        <w:ind w:left="0"/>
        <w:rPr>
          <w:rFonts w:ascii="Arial" w:hAnsi="Arial" w:cs="Arial"/>
          <w:sz w:val="18"/>
        </w:rPr>
      </w:pPr>
    </w:p>
    <w:p w14:paraId="41D18FD3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A injeção intravascular na artéria temporal superficial pode ocorrer durante o bloqueio zigomático-temporal.</w:t>
      </w:r>
    </w:p>
    <w:p w14:paraId="1F8767D2" w14:textId="77777777">
      <w:pPr>
        <w:spacing w:after="0" w:line="240" w:lineRule="auto"/>
        <w:rPr>
          <w:rFonts w:ascii="Arial" w:hAnsi="Arial" w:cs="Arial"/>
          <w:sz w:val="18"/>
        </w:rPr>
      </w:pPr>
    </w:p>
    <w:p w14:paraId="28A6B8C9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bloqueio do nervo facial pode ocorrer durante o bloqueio auriculotemporal.</w:t>
      </w:r>
    </w:p>
    <w:p w14:paraId="1F0BB42A" w14:textId="77777777">
      <w:pPr>
        <w:spacing w:after="0" w:line="240" w:lineRule="auto"/>
        <w:rPr>
          <w:rFonts w:ascii="Arial" w:hAnsi="Arial" w:cs="Arial"/>
          <w:sz w:val="18"/>
        </w:rPr>
      </w:pPr>
    </w:p>
    <w:p w14:paraId="1F0B6B21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Um reflexo trigeminocardíaco durante o bloqueio do couro cabeludo pode se apresentar como bradicardia grave e hipotensão. </w:t>
      </w:r>
    </w:p>
    <w:p w14:paraId="1419897D" w14:textId="77777777">
      <w:pPr>
        <w:spacing w:after="0" w:line="240" w:lineRule="auto"/>
        <w:rPr>
          <w:rFonts w:ascii="Arial" w:hAnsi="Arial" w:cs="Arial"/>
          <w:sz w:val="18"/>
        </w:rPr>
      </w:pPr>
    </w:p>
    <w:p w14:paraId="32BC323D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nervo supratroclear é um ramo do ramo oftálmico do nervo trigêmeo.</w:t>
      </w:r>
    </w:p>
    <w:p w14:paraId="78E01FFB" w14:textId="77777777">
      <w:pPr>
        <w:spacing w:after="0" w:line="240" w:lineRule="auto"/>
        <w:rPr>
          <w:rFonts w:ascii="Arial" w:hAnsi="Arial" w:cs="Arial"/>
          <w:sz w:val="18"/>
        </w:rPr>
      </w:pPr>
    </w:p>
    <w:p w14:paraId="4937C782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A infecção é comum após o bloqueio do couro cabeludo.</w:t>
      </w:r>
    </w:p>
    <w:p w14:paraId="7BEDB2A5" w14:textId="77777777">
      <w:pPr>
        <w:pStyle w:val="ListParagraph"/>
        <w:spacing w:after="0" w:line="240" w:lineRule="auto"/>
        <w:ind w:left="0"/>
        <w:rPr>
          <w:rFonts w:ascii="Arial" w:hAnsi="Arial" w:cs="Arial"/>
          <w:sz w:val="18"/>
        </w:rPr>
      </w:pPr>
    </w:p>
    <w:p w14:paraId="68EB5DC6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Os nervos auricular maior e terceiro occipital também podem ser bloqueados pelo bloqueio do couro cabeludo.</w:t>
      </w:r>
    </w:p>
    <w:p w14:paraId="28795C42" w14:textId="77777777">
      <w:pPr>
        <w:pStyle w:val="ListParagraph"/>
        <w:spacing w:after="0" w:line="240" w:lineRule="auto"/>
        <w:ind w:left="0"/>
        <w:rPr>
          <w:rFonts w:ascii="Arial" w:hAnsi="Arial" w:cs="Arial"/>
          <w:sz w:val="18"/>
        </w:rPr>
      </w:pPr>
    </w:p>
    <w:p w14:paraId="52D515F5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A maioria das injeções no bloco do couro cabeludo são injeções profundas.</w:t>
      </w:r>
    </w:p>
    <w:p w14:paraId="53B84ADE" w14:textId="77777777">
      <w:pPr>
        <w:spacing w:after="0" w:line="240" w:lineRule="auto"/>
        <w:rPr>
          <w:rFonts w:ascii="Arial" w:hAnsi="Arial" w:cs="Arial"/>
          <w:sz w:val="18"/>
        </w:rPr>
      </w:pPr>
    </w:p>
    <w:p w14:paraId="601D11F2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bloqueio do couro cabeludo pode reduzir o sangramento do couro cabeludo durante a cirurgia.</w:t>
      </w:r>
    </w:p>
    <w:p w14:paraId="56464EF3" w14:textId="77777777">
      <w:pPr>
        <w:pStyle w:val="ListParagraph"/>
        <w:rPr>
          <w:rFonts w:ascii="Arial" w:hAnsi="Arial" w:cs="Arial"/>
          <w:sz w:val="18"/>
        </w:rPr>
      </w:pPr>
    </w:p>
    <w:p w14:paraId="624F988B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couro cabeludo tem 4 camadas.</w:t>
      </w:r>
    </w:p>
    <w:p w14:paraId="229BE54A" w14:textId="77777777">
      <w:pPr>
        <w:spacing w:after="0" w:line="240" w:lineRule="auto"/>
        <w:rPr>
          <w:rFonts w:ascii="Arial" w:hAnsi="Arial" w:cs="Arial"/>
          <w:sz w:val="18"/>
        </w:rPr>
      </w:pPr>
    </w:p>
    <w:p w14:paraId="51B804B9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reflexo trigeminocardíaco pode ser provocado pela estimulação dos ramos periféricos do quinto nervo craniano</w:t>
      </w:r>
    </w:p>
    <w:p w14:paraId="1B9A19EE" w14:textId="77777777">
      <w:pPr>
        <w:pStyle w:val="ListParagraph"/>
        <w:rPr>
          <w:rFonts w:ascii="Arial" w:hAnsi="Arial" w:cs="Arial"/>
          <w:sz w:val="18"/>
        </w:rPr>
      </w:pPr>
    </w:p>
    <w:p w14:paraId="01E18872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nervo supraorbital corre medialmente para o nervo supratroclear</w:t>
      </w:r>
    </w:p>
    <w:p w14:paraId="443C2DBE" w14:textId="77777777">
      <w:pPr>
        <w:pStyle w:val="ListParagraph"/>
        <w:rPr>
          <w:rFonts w:ascii="Arial" w:hAnsi="Arial" w:cs="Arial"/>
          <w:sz w:val="18"/>
        </w:rPr>
      </w:pPr>
    </w:p>
    <w:p w14:paraId="53B3B1EF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bloqueio do nervo zigomático-temporal envolve injeções superficiais e profundas.</w:t>
      </w:r>
    </w:p>
    <w:p w14:paraId="2FBDFB7C" w14:textId="77777777">
      <w:pPr>
        <w:pStyle w:val="ListParagraph"/>
        <w:rPr>
          <w:rFonts w:ascii="Arial" w:hAnsi="Arial" w:cs="Arial"/>
          <w:sz w:val="18"/>
        </w:rPr>
      </w:pPr>
    </w:p>
    <w:p w14:paraId="26659FD6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bloqueio do couro cabeludo precisa de menor volume de droga em comparação com a infiltração do couro cabeludo</w:t>
      </w:r>
    </w:p>
    <w:p w14:paraId="23B19BC7" w14:textId="77777777">
      <w:pPr>
        <w:pStyle w:val="ListParagraph"/>
        <w:rPr>
          <w:rFonts w:ascii="Arial" w:hAnsi="Arial" w:cs="Arial"/>
          <w:sz w:val="18"/>
        </w:rPr>
      </w:pPr>
    </w:p>
    <w:p w14:paraId="6FB1DC42" w14:textId="77777777">
      <w:pPr>
        <w:pStyle w:val="P68B1DB1-ListParagraph2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>
        <w:t xml:space="preserve">O nervo occipital maior pode ser bloqueado ao longo da linha nucal superior</w:t>
      </w:r>
    </w:p>
    <w:p w14:paraId="155BCE4F" w14:textId="77777777">
      <w:pPr>
        <w:pStyle w:val="ListParagraph"/>
        <w:spacing w:line="240" w:lineRule="auto"/>
        <w:ind w:left="0"/>
        <w:rPr>
          <w:rFonts w:ascii="Arial" w:hAnsi="Arial" w:cs="Arial"/>
          <w:sz w:val="18"/>
        </w:rPr>
      </w:pPr>
    </w:p>
    <w:p w14:paraId="7E0669C3" w14:textId="77777777">
      <w:pPr>
        <w:pStyle w:val="ListParagraph"/>
        <w:spacing w:line="240" w:lineRule="auto"/>
        <w:ind w:left="0"/>
        <w:rPr>
          <w:rFonts w:ascii="Arial" w:hAnsi="Arial" w:cs="Arial"/>
          <w:sz w:val="18"/>
        </w:rPr>
      </w:pPr>
    </w:p>
    <w:p w14:paraId="57145F77" w14:textId="77777777">
      <w:pPr>
        <w:pStyle w:val="P68B1DB1-ListParagraph3"/>
        <w:spacing w:line="240" w:lineRule="auto"/>
        <w:ind w:left="0"/>
        <w:rPr>
          <w:rFonts w:ascii="Arial" w:hAnsi="Arial" w:cs="Arial"/>
          <w:b/>
          <w:sz w:val="20"/>
          <w:u w:val="single"/>
        </w:rPr>
      </w:pPr>
      <w:r>
        <w:t>RESPOSTAS</w:t>
      </w:r>
    </w:p>
    <w:p w14:paraId="439F3B5C" w14:textId="77777777">
      <w:pPr>
        <w:pStyle w:val="ListParagraph"/>
        <w:spacing w:line="240" w:lineRule="auto"/>
        <w:ind w:left="0"/>
        <w:rPr>
          <w:rFonts w:ascii="Arial" w:hAnsi="Arial" w:cs="Arial"/>
          <w:b/>
          <w:sz w:val="20"/>
          <w:u w:val="single"/>
        </w:rPr>
      </w:pPr>
    </w:p>
    <w:p w14:paraId="4EB51E2D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O nervo zigomático-temporal é um ramo do ramo mandibular do nervo trigêmeo.</w:t>
      </w:r>
    </w:p>
    <w:p w14:paraId="15537174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O nervo auriculotemporal é um ramo do ramo mandibular do nervo trigêmeo.</w:t>
      </w:r>
    </w:p>
    <w:p w14:paraId="3D341F18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Os ramos dos nervos cervicais C2-C3 são direcionados no bloco do couro cabeludo.</w:t>
      </w:r>
    </w:p>
    <w:p w14:paraId="1399BF27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A epinefrina adicionada ao LA é de 1:200.000 solução.</w:t>
      </w:r>
    </w:p>
    <w:p w14:paraId="0C46F012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A adição de epinefrina serve para causar vasoconstrição e, assim, diminuir o aumento súbito da concentração plasmática em áreas intensamente vascularizadas, como o couro cabeludo.</w:t>
      </w:r>
    </w:p>
    <w:p w14:paraId="18749F29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A epinefrina recomendada é de 2,5mcg/ml para uso pediátrico.</w:t>
      </w:r>
    </w:p>
    <w:p w14:paraId="4D0A9959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A artéria temporal superficial é vulnerável durante o bloqueio do nervo auriculotemporal.</w:t>
      </w:r>
    </w:p>
    <w:p w14:paraId="2AA9C0AD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O bloqueio do nervo facial pode ocorrer durante o bloqueio auriculotemporal.</w:t>
      </w:r>
    </w:p>
    <w:p w14:paraId="4D51826A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Um reflexo trigeminocardíaco durante o bloqueio do couro cabeludo pode se apresentar como bradicardia grave e hipotensão. </w:t>
      </w:r>
    </w:p>
    <w:p w14:paraId="4B0506FB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O nervo supratroclear é um ramo do ramo oftálmico do nervo trigêmeo.</w:t>
      </w:r>
    </w:p>
    <w:p w14:paraId="1AE9A94C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A infecção é comum após o bloqueio do couro cabeludo.</w:t>
      </w:r>
    </w:p>
    <w:p w14:paraId="1110817C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Esses nervos também estão incluídos em algumas descrições do bloco do couro cabeludo.</w:t>
      </w:r>
    </w:p>
    <w:p w14:paraId="4144205A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A maioria das injeções são injeções subcutâneas superficiais.</w:t>
      </w:r>
    </w:p>
    <w:p w14:paraId="6D9A0046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A adição de epinefrina à mistura de LA leva à vasoconstrição e, portanto, reduz o sangramento. </w:t>
      </w:r>
    </w:p>
    <w:p w14:paraId="480966A1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O couro cabeludo tem 5 camadas: pele, tecido conjuntivo, aponeurose e músculo, tecido areolar solto e periósteo.</w:t>
      </w:r>
    </w:p>
    <w:p w14:paraId="2BB3093A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O reflexo trigeminocardíaco pode ser provocado pela estimulação de qualquer ramo sensorial do quinto nervo craniano por estímulos mecânicos, elétricos e até químicos.</w:t>
      </w:r>
    </w:p>
    <w:p w14:paraId="0E75CEA4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Falso. O nervo supratroclear corre medialmente para o nervo supraorbital</w:t>
      </w:r>
    </w:p>
    <w:p w14:paraId="58851184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O bloqueio do nervo zigomático-temporal envolve injeções superficiais e profundas.</w:t>
      </w:r>
    </w:p>
    <w:p w14:paraId="03FDC7AE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O bloqueio do couro cabeludo precisa de menor volume de droga em comparação com a infiltração do couro cabeludo</w:t>
      </w:r>
    </w:p>
    <w:p w14:paraId="39E1FFB4" w14:textId="77777777">
      <w:pPr>
        <w:pStyle w:val="P68B1DB1-ListParagraph2"/>
        <w:numPr>
          <w:ilvl w:val="0"/>
          <w:numId w:val="1"/>
        </w:numPr>
        <w:spacing w:line="240" w:lineRule="auto"/>
        <w:ind w:left="0"/>
        <w:rPr>
          <w:rFonts w:ascii="Arial" w:hAnsi="Arial" w:cs="Arial"/>
          <w:sz w:val="18"/>
        </w:rPr>
      </w:pPr>
      <w:r>
        <w:t xml:space="preserve">Verdadeiro. O nervo occipital maior pode ser bloqueado ao longo da linha nucal superior</w:t>
      </w:r>
    </w:p>
    <w:p w14:paraId="2E1B7DA6" w14:textId="77777777">
      <w:pPr>
        <w:spacing w:line="240" w:lineRule="auto"/>
        <w:rPr>
          <w:rFonts w:ascii="Arial" w:hAnsi="Arial" w:cs="Arial"/>
          <w:sz w:val="18"/>
        </w:rPr>
      </w:pPr>
    </w:p>
    <w:p w14:paraId="6FB01A4D" w14:textId="77777777">
      <w:pPr>
        <w:pStyle w:val="ListParagraph"/>
        <w:spacing w:line="240" w:lineRule="auto"/>
        <w:ind w:left="0"/>
        <w:rPr>
          <w:rFonts w:ascii="Arial" w:hAnsi="Arial" w:cs="Arial"/>
          <w:sz w:val="18"/>
        </w:rPr>
      </w:pPr>
    </w:p>
    <w:p w14:paraId="51EDE35F" w14:textId="77777777">
      <w:pPr>
        <w:pStyle w:val="ListParagraph"/>
        <w:spacing w:line="240" w:lineRule="auto"/>
        <w:ind w:left="0"/>
        <w:rPr>
          <w:rFonts w:ascii="Arial" w:hAnsi="Arial" w:cs="Arial"/>
          <w:sz w:val="18"/>
        </w:rPr>
      </w:pPr>
    </w:p>
    <w:p w14:paraId="2E38A6D4" w14:textId="77777777">
      <w:pPr>
        <w:pStyle w:val="ListParagraph"/>
        <w:spacing w:line="240" w:lineRule="auto"/>
        <w:ind w:left="0"/>
        <w:rPr>
          <w:rFonts w:ascii="Arial" w:hAnsi="Arial" w:cs="Arial"/>
          <w:sz w:val="18"/>
        </w:rPr>
      </w:pPr>
    </w:p>
    <w:p w14:paraId="4E64DB65" w14:textId="77777777">
      <w:pPr>
        <w:pStyle w:val="ListParagraph"/>
        <w:spacing w:line="240" w:lineRule="auto"/>
        <w:rPr>
          <w:rFonts w:ascii="Arial" w:hAnsi="Arial" w:cs="Arial"/>
          <w:sz w:val="18"/>
        </w:rPr>
      </w:pPr>
    </w:p>
    <w:p w14:paraId="0E419D5E" w14:textId="77777777">
      <w:pPr>
        <w:pStyle w:val="ListParagraph"/>
        <w:spacing w:line="240" w:lineRule="auto"/>
        <w:rPr>
          <w:rFonts w:ascii="Arial" w:hAnsi="Arial" w:cs="Arial"/>
          <w:sz w:val="18"/>
        </w:rPr>
      </w:pPr>
    </w:p>
    <w:p w14:paraId="063ED34D" w14:textId="77777777">
      <w:pPr>
        <w:pStyle w:val="ListParagraph"/>
        <w:spacing w:line="240" w:lineRule="auto"/>
        <w:rPr>
          <w:rFonts w:ascii="Arial" w:hAnsi="Arial" w:cs="Arial"/>
          <w:sz w:val="18"/>
        </w:rPr>
      </w:pPr>
    </w:p>
    <w:p w14:paraId="333CF4A2" w14:textId="77777777">
      <w:pPr>
        <w:pStyle w:val="ListParagraph"/>
        <w:spacing w:line="240" w:lineRule="auto"/>
        <w:rPr>
          <w:rFonts w:ascii="Arial" w:hAnsi="Arial" w:cs="Arial"/>
          <w:sz w:val="18"/>
        </w:rPr>
      </w:pPr>
    </w:p>
    <w:p w14:paraId="4481C584" w14:textId="77777777">
      <w:pPr>
        <w:pStyle w:val="ListParagraph"/>
        <w:spacing w:line="240" w:lineRule="auto"/>
        <w:rPr>
          <w:rFonts w:ascii="Arial" w:hAnsi="Arial" w:cs="Arial"/>
          <w:sz w:val="18"/>
        </w:rPr>
      </w:pPr>
    </w:p>
    <w:p w14:paraId="41832A8D" w14:textId="77777777">
      <w:pPr>
        <w:spacing w:line="240" w:lineRule="auto"/>
        <w:ind w:left="720"/>
        <w:rPr>
          <w:rFonts w:ascii="Arial" w:hAnsi="Arial" w:cs="Arial"/>
          <w:sz w:val="18"/>
        </w:rPr>
      </w:pPr>
    </w:p>
    <w:p w14:paraId="600435A4" w14:textId="77777777">
      <w:pPr>
        <w:spacing w:line="240" w:lineRule="auto"/>
        <w:rPr>
          <w:rFonts w:ascii="Arial" w:hAnsi="Arial" w:cs="Arial"/>
          <w:sz w:val="18"/>
        </w:rPr>
      </w:pPr>
    </w:p>
    <w:p w14:paraId="1C8ACD4A" w14:textId="77777777">
      <w:pPr>
        <w:spacing w:line="240" w:lineRule="auto"/>
        <w:rPr>
          <w:rFonts w:ascii="Arial" w:hAnsi="Arial" w:cs="Arial"/>
          <w:sz w:val="18"/>
        </w:rPr>
      </w:pPr>
    </w:p>
    <w:p w14:paraId="13F25B44" w14:textId="77777777">
      <w:pPr>
        <w:spacing w:line="240" w:lineRule="auto"/>
        <w:rPr>
          <w:rFonts w:ascii="Arial" w:hAnsi="Arial" w:cs="Arial"/>
          <w:sz w:val="18"/>
        </w:rPr>
      </w:pPr>
    </w:p>
    <w:p w14:paraId="176C7045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7B61"/>
    <w:multiLevelType w:val="hybridMultilevel"/>
    <w:tmpl w:val="A2AE77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4B3D"/>
    <w:multiLevelType w:val="hybridMultilevel"/>
    <w:tmpl w:val="CDE69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2327">
    <w:abstractNumId w:val="1"/>
  </w:num>
  <w:num w:numId="2" w16cid:durableId="186983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B6"/>
    <w:rsid w:val="000017E5"/>
    <w:rsid w:val="001B78B6"/>
    <w:rsid w:val="0030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8F2BC"/>
  <w15:chartTrackingRefBased/>
  <w15:docId w15:val="{D755D74F-C7B6-AA46-AD2C-22B3152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Theme="minorHAnsi" w:hAnsiTheme="minorHAnsi" w:cstheme="minorBidi" w:eastAsiaTheme="minorHAnsi"/>
        <w:sz w:val="24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B6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B6"/>
    <w:pPr>
      <w:ind w:left="720"/>
      <w:contextualSpacing/>
    </w:pPr>
  </w:style>
  <w:style w:type="paragraph" w:styleId="P68B1DB1-Normal1">
    <w:name w:val="P68B1DB1-Normal1"/>
    <w:basedOn w:val="Normal"/>
    <w:rPr>
      <w:rFonts w:ascii="Arial" w:hAnsi="Arial" w:cs="Arial"/>
      <w:b/>
      <w:sz w:val="20"/>
      <w:u w:val="single"/>
    </w:rPr>
  </w:style>
  <w:style w:type="paragraph" w:styleId="P68B1DB1-ListParagraph2">
    <w:name w:val="P68B1DB1-ListParagraph2"/>
    <w:basedOn w:val="ListParagraph"/>
    <w:rPr>
      <w:rFonts w:ascii="Arial" w:hAnsi="Arial" w:cs="Arial"/>
      <w:sz w:val="18"/>
    </w:rPr>
  </w:style>
  <w:style w:type="paragraph" w:styleId="P68B1DB1-ListParagraph3">
    <w:name w:val="P68B1DB1-ListParagraph3"/>
    <w:basedOn w:val="ListParagraph"/>
    <w:rPr>
      <w:rFonts w:ascii="Arial" w:hAnsi="Arial" w:cs="Arial"/>
      <w:b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24897F69-0BC4-46D0-87E5-370F8437542C}"/>
</file>

<file path=customXml/itemProps2.xml><?xml version="1.0" encoding="utf-8"?>
<ds:datastoreItem xmlns:ds="http://schemas.openxmlformats.org/officeDocument/2006/customXml" ds:itemID="{F07A656A-5DCE-46C4-BE3F-9320BC2D1D1E}"/>
</file>

<file path=customXml/itemProps3.xml><?xml version="1.0" encoding="utf-8"?>
<ds:datastoreItem xmlns:ds="http://schemas.openxmlformats.org/officeDocument/2006/customXml" ds:itemID="{03AC179D-DCB0-40BB-8899-074747459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Lilaonitkul, Maytinee</dc:creator>
  <cp:keywords/>
  <dc:description/>
  <cp:lastModifiedBy>Lilaonitkul, Maytinee</cp:lastModifiedBy>
  <cp:revision>1</cp:revision>
  <dcterms:created xsi:type="dcterms:W3CDTF">2022-06-23T07:43:00Z</dcterms:created>
  <dcterms:modified xsi:type="dcterms:W3CDTF">2022-06-23T07:43:00Z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