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42" w:type="dxa"/>
        <w:tblLook w:val="04A0" w:firstRow="1" w:lastRow="0" w:firstColumn="1" w:lastColumn="0" w:noHBand="0" w:noVBand="1"/>
      </w:tblPr>
      <w:tblGrid>
        <w:gridCol w:w="2943"/>
        <w:gridCol w:w="6299"/>
      </w:tblGrid>
      <w:tr w14:paraId="7F999BCA" w14:textId="77777777">
        <w:trPr>
          <w:trHeight w:val="1676"/>
        </w:trPr>
        <w:tc>
          <w:tcPr>
            <w:tcW w:w="2943" w:type="dxa"/>
            <w:shd w:val="clear" w:color="auto" w:fill="A8D08D" w:themeFill="accent6" w:themeFillTint="99"/>
          </w:tcPr>
          <w:p w14:paraId="517D0D7A" w14:textId="77777777">
            <w:pPr>
              <w:spacing w:after="0" w:line="240" w:lineRule="auto"/>
              <w:rPr>
                <w:rFonts w:ascii="Arial" w:hAnsi="Arial" w:cs="Arial"/>
                <w:sz w:val="18"/>
              </w:rPr>
            </w:pPr>
          </w:p>
          <w:p w14:paraId="457ACFB2" w14:textId="77777777">
            <w:pPr>
              <w:spacing w:after="0" w:line="240" w:lineRule="auto"/>
              <w:rPr>
                <w:rFonts w:ascii="Arial" w:hAnsi="Arial" w:cs="Arial"/>
                <w:b/>
                <w:sz w:val="18"/>
              </w:rPr>
              <w:pStyle w:val="P68B1DB1-Normal1"/>
            </w:pPr>
            <w:r>
              <w:t>Neurocirurgia</w:t>
            </w:r>
          </w:p>
        </w:tc>
        <w:tc>
          <w:tcPr>
            <w:tcW w:w="6299" w:type="dxa"/>
          </w:tcPr>
          <w:p w14:paraId="5F8D911B" w14:textId="37D27C6E">
            <w:pPr>
              <w:pStyle w:val="P68B1DB1-ListParagraph2"/>
              <w:numPr>
                <w:ilvl w:val="0"/>
                <w:numId w:val="1"/>
              </w:numPr>
              <w:spacing w:after="0" w:line="240" w:lineRule="auto"/>
              <w:rPr>
                <w:rFonts w:ascii="Arial" w:hAnsi="Arial" w:cs="Arial"/>
                <w:sz w:val="18"/>
              </w:rPr>
            </w:pPr>
            <w:r>
              <w:t xml:space="preserve">Tratamento perioperatório de craniotomia acordada para cirurgias próximas a áreas eloquentes, cirurgias de epilepsia, radiocirurgias estereotáxicas e estimulação cerebral profunda.</w:t>
            </w:r>
          </w:p>
          <w:p w14:paraId="70FFB37F" w14:textId="77777777">
            <w:pPr>
              <w:pStyle w:val="ListParagraph"/>
              <w:spacing w:after="0" w:line="240" w:lineRule="auto"/>
              <w:rPr>
                <w:rFonts w:ascii="Arial" w:hAnsi="Arial" w:cs="Arial"/>
                <w:sz w:val="18"/>
              </w:rPr>
            </w:pPr>
          </w:p>
          <w:p w14:paraId="3BEB7758" w14:textId="1C960381">
            <w:pPr>
              <w:pStyle w:val="P68B1DB1-ListParagraph2"/>
              <w:numPr>
                <w:ilvl w:val="0"/>
                <w:numId w:val="1"/>
              </w:numPr>
              <w:spacing w:after="0" w:line="240" w:lineRule="auto"/>
              <w:rPr>
                <w:rFonts w:ascii="Arial" w:hAnsi="Arial" w:cs="Arial"/>
                <w:sz w:val="18"/>
              </w:rPr>
            </w:pPr>
            <w:r>
              <w:t xml:space="preserve">Adjuvante com anestesia geral para craniotomias supratentorial ou infratentorial para analgesia perioperatória</w:t>
            </w:r>
          </w:p>
          <w:p w14:paraId="429D1BCB" w14:textId="77777777">
            <w:pPr>
              <w:pStyle w:val="ListParagraph"/>
              <w:spacing w:after="0" w:line="240" w:lineRule="auto"/>
              <w:ind w:left="360"/>
              <w:rPr>
                <w:rFonts w:ascii="Arial" w:hAnsi="Arial" w:cs="Arial"/>
                <w:sz w:val="18"/>
              </w:rPr>
            </w:pPr>
          </w:p>
          <w:p w14:paraId="137EB95B" w14:textId="094CF4AC">
            <w:pPr>
              <w:pStyle w:val="P68B1DB1-ListParagraph2"/>
              <w:numPr>
                <w:ilvl w:val="0"/>
                <w:numId w:val="1"/>
              </w:numPr>
              <w:spacing w:after="0" w:line="240" w:lineRule="auto"/>
              <w:rPr>
                <w:rFonts w:ascii="Arial" w:hAnsi="Arial" w:cs="Arial"/>
                <w:sz w:val="18"/>
              </w:rPr>
            </w:pPr>
            <w:r>
              <w:t xml:space="preserve">Outros procedimentos como colocação de derivação ventrículo-peritoneal frontal e colocação de reservatório de Ommaya</w:t>
            </w:r>
          </w:p>
        </w:tc>
      </w:tr>
      <w:tr w14:paraId="2CDAA032" w14:textId="77777777">
        <w:tc>
          <w:tcPr>
            <w:tcW w:w="2943" w:type="dxa"/>
            <w:shd w:val="clear" w:color="auto" w:fill="A8D08D" w:themeFill="accent6" w:themeFillTint="99"/>
          </w:tcPr>
          <w:p w14:paraId="353CA44D" w14:textId="184CBAD8">
            <w:pPr>
              <w:spacing w:after="0" w:line="240" w:lineRule="auto"/>
              <w:rPr>
                <w:rFonts w:ascii="Arial" w:hAnsi="Arial" w:cs="Arial"/>
                <w:sz w:val="18"/>
              </w:rPr>
            </w:pPr>
          </w:p>
          <w:p w14:paraId="7277FCE7" w14:textId="77777777">
            <w:pPr>
              <w:spacing w:after="0" w:line="240" w:lineRule="auto"/>
              <w:rPr>
                <w:rFonts w:ascii="Arial" w:hAnsi="Arial" w:cs="Arial"/>
                <w:b/>
                <w:sz w:val="18"/>
              </w:rPr>
              <w:pStyle w:val="P68B1DB1-Normal1"/>
            </w:pPr>
            <w:r>
              <w:t xml:space="preserve">Outros procedimentos cirúrgicos</w:t>
            </w:r>
          </w:p>
        </w:tc>
        <w:tc>
          <w:tcPr>
            <w:tcW w:w="6299" w:type="dxa"/>
          </w:tcPr>
          <w:p w14:paraId="13B53763" w14:textId="568C053B">
            <w:pPr>
              <w:pStyle w:val="P68B1DB1-ListParagraph2"/>
              <w:numPr>
                <w:ilvl w:val="0"/>
                <w:numId w:val="1"/>
              </w:numPr>
              <w:spacing w:after="0" w:line="240" w:lineRule="auto"/>
              <w:rPr>
                <w:rFonts w:ascii="Arial" w:hAnsi="Arial" w:cs="Arial"/>
                <w:sz w:val="18"/>
                <w:vertAlign w:val="superscript"/>
              </w:rPr>
            </w:pPr>
            <w:r>
              <w:t xml:space="preserve">Os bloqueios supraorbitais e supratroclear são úteis para a cirurgia da testa inferior e da pálpebra superior (por exemplo, reparo de uma laceração, procedimentos cirúrgicos plásticos como excisão do nevo pigmentado do couro cabeludo anterior, tumor benigno com enxerto de pele ou excisão de cisto dermóide) </w:t>
            </w:r>
          </w:p>
          <w:p w14:paraId="002E2F72" w14:textId="0E6354B4">
            <w:pPr>
              <w:pStyle w:val="P68B1DB1-ListParagraph2"/>
              <w:spacing w:after="0" w:line="240" w:lineRule="auto"/>
              <w:ind w:left="360"/>
              <w:rPr>
                <w:rFonts w:ascii="Arial" w:hAnsi="Arial" w:cs="Arial"/>
                <w:sz w:val="18"/>
                <w:vertAlign w:val="superscript"/>
              </w:rPr>
            </w:pPr>
            <w:r>
              <w:t xml:space="preserve">Pode ser combinado com um bloqueio nasal para fraturas nasais</w:t>
            </w:r>
          </w:p>
          <w:p w14:paraId="06DECFE8" w14:textId="77777777">
            <w:pPr>
              <w:spacing w:after="0" w:line="240" w:lineRule="auto"/>
              <w:rPr>
                <w:rFonts w:ascii="Arial" w:hAnsi="Arial" w:cs="Arial"/>
                <w:sz w:val="18"/>
              </w:rPr>
            </w:pPr>
          </w:p>
        </w:tc>
      </w:tr>
      <w:tr w14:paraId="32D40048" w14:textId="77777777">
        <w:tc>
          <w:tcPr>
            <w:tcW w:w="2943" w:type="dxa"/>
            <w:shd w:val="clear" w:color="auto" w:fill="A8D08D" w:themeFill="accent6" w:themeFillTint="99"/>
          </w:tcPr>
          <w:p w14:paraId="5A4066C2" w14:textId="52A8BED8">
            <w:pPr>
              <w:spacing w:after="0" w:line="240" w:lineRule="auto"/>
              <w:rPr>
                <w:rFonts w:ascii="Arial" w:hAnsi="Arial" w:cs="Arial"/>
                <w:sz w:val="18"/>
              </w:rPr>
            </w:pPr>
          </w:p>
          <w:p w14:paraId="73B311CE" w14:textId="388F0CB9">
            <w:pPr>
              <w:spacing w:after="0" w:line="240" w:lineRule="auto"/>
              <w:rPr>
                <w:rFonts w:ascii="Arial" w:hAnsi="Arial" w:cs="Arial"/>
                <w:b/>
                <w:sz w:val="18"/>
              </w:rPr>
              <w:pStyle w:val="P68B1DB1-Normal1"/>
            </w:pPr>
            <w:r>
              <w:t xml:space="preserve">Procedimentos curtos no departamento de emergência</w:t>
            </w:r>
          </w:p>
        </w:tc>
        <w:tc>
          <w:tcPr>
            <w:tcW w:w="6299" w:type="dxa"/>
          </w:tcPr>
          <w:p w14:paraId="6D207A4C" w14:textId="388A566D">
            <w:pPr>
              <w:pStyle w:val="P68B1DB1-ListParagraph2"/>
              <w:numPr>
                <w:ilvl w:val="0"/>
                <w:numId w:val="1"/>
              </w:numPr>
              <w:spacing w:after="0" w:line="240" w:lineRule="auto"/>
              <w:rPr>
                <w:rFonts w:ascii="Arial" w:hAnsi="Arial" w:cs="Arial"/>
                <w:sz w:val="18"/>
              </w:rPr>
            </w:pPr>
            <w:r>
              <w:t xml:space="preserve">Fechamento de lacerações do couro cabeludo, incluindo enxerto de pele, retalhos rotacionais e remoções de corpo estranho</w:t>
            </w:r>
          </w:p>
          <w:p w14:paraId="37BEEE98" w14:textId="13F30556">
            <w:pPr>
              <w:pStyle w:val="ListParagraph"/>
              <w:spacing w:after="0" w:line="240" w:lineRule="auto"/>
              <w:rPr>
                <w:rFonts w:ascii="Arial" w:hAnsi="Arial" w:cs="Arial"/>
                <w:sz w:val="18"/>
              </w:rPr>
            </w:pPr>
          </w:p>
        </w:tc>
      </w:tr>
      <w:tr w14:paraId="3B6C49C2" w14:textId="77777777">
        <w:trPr>
          <w:trHeight w:val="3332"/>
        </w:trPr>
        <w:tc>
          <w:tcPr>
            <w:tcW w:w="2943" w:type="dxa"/>
            <w:shd w:val="clear" w:color="auto" w:fill="A8D08D" w:themeFill="accent6" w:themeFillTint="99"/>
          </w:tcPr>
          <w:p w14:paraId="0A1B9371" w14:textId="77777777">
            <w:pPr>
              <w:spacing w:after="0" w:line="240" w:lineRule="auto"/>
              <w:rPr>
                <w:rFonts w:ascii="Arial" w:hAnsi="Arial" w:cs="Arial"/>
                <w:b/>
                <w:sz w:val="18"/>
              </w:rPr>
            </w:pPr>
          </w:p>
          <w:p w14:paraId="5EF3FBE3" w14:textId="77777777">
            <w:pPr>
              <w:spacing w:after="0" w:line="240" w:lineRule="auto"/>
              <w:rPr>
                <w:rFonts w:ascii="Arial" w:hAnsi="Arial" w:cs="Arial"/>
                <w:sz w:val="18"/>
              </w:rPr>
              <w:pStyle w:val="P68B1DB1-Normal1"/>
            </w:pPr>
            <w:r>
              <w:t xml:space="preserve">Tratamento da dor</w:t>
            </w:r>
          </w:p>
        </w:tc>
        <w:tc>
          <w:tcPr>
            <w:tcW w:w="6299" w:type="dxa"/>
          </w:tcPr>
          <w:p w14:paraId="469B1DBA" w14:textId="77777777">
            <w:pPr>
              <w:pStyle w:val="P68B1DB1-ListParagraph2"/>
              <w:numPr>
                <w:ilvl w:val="0"/>
                <w:numId w:val="1"/>
              </w:numPr>
              <w:spacing w:after="0" w:line="240" w:lineRule="auto"/>
              <w:rPr>
                <w:rFonts w:ascii="Arial" w:hAnsi="Arial" w:cs="Arial"/>
                <w:sz w:val="18"/>
              </w:rPr>
            </w:pPr>
            <w:r>
              <w:t xml:space="preserve">Tratamento da Dor Crônica</w:t>
            </w:r>
          </w:p>
          <w:p w14:paraId="1990DED7" w14:textId="77777777">
            <w:pPr>
              <w:pStyle w:val="ListParagraph"/>
              <w:spacing w:after="0" w:line="240" w:lineRule="auto"/>
              <w:ind w:left="360"/>
              <w:rPr>
                <w:rFonts w:ascii="Arial" w:hAnsi="Arial" w:cs="Arial"/>
                <w:sz w:val="18"/>
              </w:rPr>
            </w:pPr>
          </w:p>
          <w:p w14:paraId="613575ED" w14:textId="7D3E3901">
            <w:pPr>
              <w:pStyle w:val="P68B1DB1-ListParagraph2"/>
              <w:spacing w:after="0" w:line="240" w:lineRule="auto"/>
              <w:ind w:left="360"/>
              <w:rPr>
                <w:rFonts w:ascii="Arial" w:hAnsi="Arial" w:cs="Arial"/>
                <w:sz w:val="18"/>
              </w:rPr>
            </w:pPr>
            <w:r>
              <w:t xml:space="preserve">Bloqueios do nervo occipital maiores usados para o tratamento de neuralgia occipital, enxaquecas, cefaleias em salvas e cefaleia cervicogênica </w:t>
            </w:r>
          </w:p>
          <w:p w14:paraId="2CB83BD4" w14:textId="2545D710">
            <w:pPr>
              <w:pStyle w:val="P68B1DB1-ListParagraph2"/>
              <w:spacing w:after="0" w:line="240" w:lineRule="auto"/>
              <w:ind w:left="360"/>
              <w:rPr>
                <w:rFonts w:ascii="Arial" w:hAnsi="Arial" w:cs="Arial"/>
                <w:sz w:val="18"/>
              </w:rPr>
            </w:pPr>
            <w:r>
              <w:t xml:space="preserve">Uso em poucos casos de cefaleia pós-punção lombar [1] e neuralgia refratária do trigêmeo são relatados. Esteroides como triancinolona ou metilprednisolona às vezes usados em combinação com os agentes anestésicos locais</w:t>
            </w:r>
          </w:p>
          <w:p w14:paraId="2216193E" w14:textId="77777777">
            <w:pPr>
              <w:spacing w:after="0" w:line="240" w:lineRule="auto"/>
              <w:rPr>
                <w:rFonts w:ascii="Arial" w:hAnsi="Arial" w:cs="Arial"/>
                <w:sz w:val="18"/>
              </w:rPr>
            </w:pPr>
          </w:p>
          <w:p w14:paraId="2E66DE56" w14:textId="1871BD51">
            <w:pPr>
              <w:spacing w:after="0" w:line="240" w:lineRule="auto"/>
              <w:rPr>
                <w:rFonts w:ascii="Arial" w:hAnsi="Arial" w:cs="Arial"/>
                <w:sz w:val="18"/>
              </w:rPr>
              <w:pStyle w:val="P68B1DB1-Normal3"/>
            </w:pPr>
            <w:r>
              <w:t xml:space="preserve">7)Ramos do nervo oftálmico podem ser bloqueados para o manejo da enxaqueca ocular aguda e retro-ocular e no tratamento da dor aguda por herpeszoster. [2]</w:t>
            </w:r>
          </w:p>
        </w:tc>
      </w:tr>
    </w:tbl>
    <w:p w14:paraId="16C0B52C" w14:textId="77777777">
      <w:pPr>
        <w:spacing w:after="0" w:line="240" w:lineRule="auto"/>
        <w:rPr>
          <w:rFonts w:ascii="Arial" w:hAnsi="Arial" w:cs="Arial"/>
          <w:sz w:val="18"/>
        </w:rPr>
      </w:pPr>
    </w:p>
    <w:p w14:paraId="79F30C9B" w14:textId="6CBB1200">
      <w:pPr>
        <w:spacing w:after="0" w:line="240" w:lineRule="auto"/>
        <w:rPr>
          <w:rFonts w:ascii="Arial" w:hAnsi="Arial" w:cs="Arial"/>
          <w:b/>
          <w:sz w:val="20"/>
          <w:u w:val="single"/>
        </w:rPr>
        <w:pStyle w:val="P68B1DB1-Normal4"/>
      </w:pPr>
      <w:r>
        <w:t xml:space="preserve">Tabela 1. Indicações para o bloqueio do couro cabeludo</w:t>
      </w:r>
    </w:p>
    <w:p w14:paraId="74882053" w14:textId="77777777">
      <w:pPr>
        <w:spacing w:after="0" w:line="240" w:lineRule="auto"/>
        <w:rPr>
          <w:rFonts w:ascii="Arial" w:hAnsi="Arial" w:cs="Arial"/>
          <w:b/>
          <w:sz w:val="20"/>
          <w:u w:val="single"/>
        </w:rPr>
      </w:pPr>
    </w:p>
    <w:p w14:paraId="4DDAA005" w14:textId="5739C891">
      <w:pPr>
        <w:spacing w:after="0" w:line="240" w:lineRule="auto"/>
        <w:rPr>
          <w:rFonts w:ascii="Arial" w:hAnsi="Arial" w:cs="Arial"/>
          <w:b/>
          <w:sz w:val="20"/>
          <w:u w:val="single"/>
        </w:rPr>
      </w:pPr>
    </w:p>
    <w:tbl>
      <w:tblPr>
        <w:tblStyle w:val="TableGrid"/>
        <w:tblW w:w="0" w:type="auto"/>
        <w:tblLook w:val="04A0" w:firstRow="1" w:lastRow="0" w:firstColumn="1" w:lastColumn="0" w:noHBand="0" w:noVBand="1"/>
      </w:tblPr>
      <w:tblGrid>
        <w:gridCol w:w="4504"/>
        <w:gridCol w:w="4512"/>
      </w:tblGrid>
      <w:tr w14:paraId="242B6910" w14:textId="77777777">
        <w:tc>
          <w:tcPr>
            <w:tcW w:w="4621" w:type="dxa"/>
            <w:shd w:val="clear" w:color="auto" w:fill="A8D08D" w:themeFill="accent6" w:themeFillTint="99"/>
          </w:tcPr>
          <w:p w14:paraId="07327880" w14:textId="3EFACF2E">
            <w:pPr>
              <w:spacing w:after="0" w:line="240" w:lineRule="auto"/>
              <w:rPr>
                <w:rFonts w:ascii="Arial" w:hAnsi="Arial" w:cs="Arial"/>
                <w:b/>
                <w:sz w:val="18"/>
              </w:rPr>
              <w:pStyle w:val="P68B1DB1-Normal1"/>
            </w:pPr>
            <w:r>
              <w:t>Absoluto</w:t>
            </w:r>
          </w:p>
        </w:tc>
        <w:tc>
          <w:tcPr>
            <w:tcW w:w="4621" w:type="dxa"/>
          </w:tcPr>
          <w:p w14:paraId="301B1077" w14:textId="77777777">
            <w:pPr>
              <w:spacing w:after="0"/>
              <w:rPr>
                <w:rFonts w:ascii="Arial" w:hAnsi="Arial" w:cs="Arial"/>
                <w:sz w:val="18"/>
              </w:rPr>
              <w:pStyle w:val="P68B1DB1-Normal3"/>
            </w:pPr>
            <w:r>
              <w:t xml:space="preserve">Alergia comprovada ou suspeita a anestésicos locais</w:t>
            </w:r>
          </w:p>
          <w:p w14:paraId="364585D1" w14:textId="1953831E">
            <w:pPr>
              <w:spacing w:after="0" w:line="240" w:lineRule="auto"/>
              <w:rPr>
                <w:rFonts w:ascii="Arial" w:hAnsi="Arial" w:cs="Arial"/>
                <w:sz w:val="20"/>
              </w:rPr>
              <w:pStyle w:val="P68B1DB1-Normal3"/>
            </w:pPr>
            <w:r>
              <w:t xml:space="preserve">Ausência de retalho ósseo por craniectomia</w:t>
            </w:r>
          </w:p>
        </w:tc>
      </w:tr>
      <w:tr w14:paraId="26A5661A" w14:textId="77777777">
        <w:tc>
          <w:tcPr>
            <w:tcW w:w="4621" w:type="dxa"/>
            <w:shd w:val="clear" w:color="auto" w:fill="A8D08D" w:themeFill="accent6" w:themeFillTint="99"/>
          </w:tcPr>
          <w:p w14:paraId="306A3EE4" w14:textId="5894434E">
            <w:pPr>
              <w:spacing w:after="0" w:line="240" w:lineRule="auto"/>
              <w:rPr>
                <w:rFonts w:ascii="Arial" w:hAnsi="Arial" w:cs="Arial"/>
                <w:b/>
                <w:sz w:val="18"/>
              </w:rPr>
              <w:pStyle w:val="P68B1DB1-Normal3"/>
            </w:pPr>
            <w:r>
              <w:rPr>
                <w:b/>
              </w:rPr>
              <w:t>Relativo</w:t>
            </w:r>
          </w:p>
        </w:tc>
        <w:tc>
          <w:tcPr>
            <w:tcW w:w="4621" w:type="dxa"/>
          </w:tcPr>
          <w:p w14:paraId="5FB5D540" w14:textId="77777777">
            <w:pPr>
              <w:spacing w:after="0"/>
              <w:rPr>
                <w:rFonts w:ascii="Arial" w:hAnsi="Arial" w:cs="Arial"/>
                <w:sz w:val="18"/>
              </w:rPr>
              <w:pStyle w:val="P68B1DB1-Normal3"/>
            </w:pPr>
            <w:r>
              <w:t xml:space="preserve">3) Infecções locais</w:t>
            </w:r>
          </w:p>
          <w:p w14:paraId="5DC2D3BC" w14:textId="77777777">
            <w:pPr>
              <w:spacing w:after="0"/>
              <w:rPr>
                <w:rFonts w:ascii="Arial" w:hAnsi="Arial" w:cs="Arial"/>
                <w:sz w:val="18"/>
              </w:rPr>
              <w:pStyle w:val="P68B1DB1-Normal3"/>
            </w:pPr>
            <w:r>
              <w:t xml:space="preserve">4) Distúrbios hemorrágicos</w:t>
            </w:r>
          </w:p>
          <w:p w14:paraId="76FB6D84" w14:textId="1641CB2F">
            <w:pPr>
              <w:spacing w:after="0" w:line="240" w:lineRule="auto"/>
              <w:rPr>
                <w:rFonts w:ascii="Arial" w:hAnsi="Arial" w:cs="Arial"/>
                <w:sz w:val="20"/>
              </w:rPr>
              <w:pStyle w:val="P68B1DB1-Normal3"/>
            </w:pPr>
            <w:r>
              <w:t xml:space="preserve">5)Cicatrizes devido a craniotomia prévia.</w:t>
            </w:r>
          </w:p>
        </w:tc>
      </w:tr>
    </w:tbl>
    <w:p w14:paraId="5ED039F7" w14:textId="77777777">
      <w:pPr>
        <w:spacing w:after="0" w:line="240" w:lineRule="auto"/>
        <w:rPr>
          <w:rFonts w:ascii="Arial" w:hAnsi="Arial" w:cs="Arial"/>
          <w:sz w:val="20"/>
        </w:rPr>
      </w:pPr>
    </w:p>
    <w:p w14:paraId="41BDC01B" w14:textId="3FCDCCA1">
      <w:pPr>
        <w:spacing w:after="0" w:line="240" w:lineRule="auto"/>
        <w:rPr>
          <w:rFonts w:ascii="Arial" w:hAnsi="Arial" w:cs="Arial"/>
          <w:b/>
          <w:sz w:val="20"/>
          <w:u w:val="single"/>
        </w:rPr>
        <w:pStyle w:val="P68B1DB1-Normal4"/>
      </w:pPr>
      <w:r>
        <w:t xml:space="preserve">Tabela 2. Contraindicações para o bloqueio do couro cabeludo</w:t>
      </w:r>
    </w:p>
    <w:p w14:paraId="68391502" w14:textId="70E7D666">
      <w:pPr>
        <w:spacing w:after="0" w:line="240" w:lineRule="auto"/>
        <w:rPr>
          <w:rFonts w:ascii="Arial" w:hAnsi="Arial" w:cs="Arial"/>
          <w:b/>
          <w:sz w:val="20"/>
          <w:u w:val="single"/>
        </w:rPr>
      </w:pPr>
    </w:p>
    <w:p w14:paraId="0918FDBF" w14:textId="1ECB3113">
      <w:pPr>
        <w:spacing w:after="0" w:line="240" w:lineRule="auto"/>
        <w:rPr>
          <w:rFonts w:ascii="Arial" w:hAnsi="Arial" w:cs="Arial"/>
          <w:b/>
          <w:sz w:val="20"/>
          <w:u w:val="single"/>
        </w:rPr>
      </w:pPr>
    </w:p>
    <w:p w14:paraId="74267194" w14:textId="01E02624">
      <w:pPr>
        <w:spacing w:after="0" w:line="240" w:lineRule="auto"/>
        <w:rPr>
          <w:rFonts w:ascii="Arial" w:hAnsi="Arial" w:cs="Arial"/>
          <w:b/>
          <w:sz w:val="20"/>
          <w:u w:val="single"/>
        </w:rPr>
      </w:pPr>
    </w:p>
    <w:p w14:paraId="0F23F1CC" w14:textId="70FFD3DC">
      <w:pPr>
        <w:spacing w:after="0" w:line="240" w:lineRule="auto"/>
        <w:rPr>
          <w:rFonts w:ascii="Arial" w:hAnsi="Arial" w:cs="Arial"/>
          <w:b/>
          <w:sz w:val="20"/>
          <w:u w:val="single"/>
        </w:rPr>
      </w:pPr>
    </w:p>
    <w:p w14:paraId="49FC60A1" w14:textId="77777777">
      <w:pPr>
        <w:keepNext/>
        <w:spacing w:line="240" w:lineRule="auto"/>
        <w:jc w:val="both"/>
        <w:rPr>
          <w:rFonts w:ascii="Arial" w:hAnsi="Arial" w:cs="Arial"/>
          <w:b/>
          <w:sz w:val="18"/>
          <w:u w:val="single"/>
        </w:rPr>
      </w:pPr>
    </w:p>
    <w:p w14:paraId="19523DDC" w14:textId="2D90F63C">
      <w:pPr>
        <w:keepNext/>
        <w:spacing w:line="240" w:lineRule="auto"/>
        <w:pStyle w:val="P68B1DB1-Normal5"/>
      </w:pPr>
      <w:r>
        <w:drawing>
          <wp:inline distT="0" distB="0" distL="0" distR="0" wp14:anchorId="19523E01" wp14:editId="6CF2788E">
            <wp:extent cx="4889500" cy="3607213"/>
            <wp:effectExtent l="0" t="0" r="0" b="0"/>
            <wp:docPr id="2" name="Picture 1" descr="C:\Users\supri\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ri\Downloads\Image.jpg"/>
                    <pic:cNvPicPr>
                      <a:picLocks noChangeAspect="1" noChangeArrowheads="1"/>
                    </pic:cNvPicPr>
                  </pic:nvPicPr>
                  <pic:blipFill>
                    <a:blip r:embed="rId5"/>
                    <a:srcRect/>
                    <a:stretch>
                      <a:fillRect/>
                    </a:stretch>
                  </pic:blipFill>
                  <pic:spPr bwMode="auto">
                    <a:xfrm>
                      <a:off x="0" y="0"/>
                      <a:ext cx="4912698" cy="3624327"/>
                    </a:xfrm>
                    <a:prstGeom prst="rect">
                      <a:avLst/>
                    </a:prstGeom>
                    <a:noFill/>
                    <a:ln w="9525">
                      <a:noFill/>
                      <a:miter lim="800000"/>
                      <a:headEnd/>
                      <a:tailEnd/>
                    </a:ln>
                  </pic:spPr>
                </pic:pic>
              </a:graphicData>
            </a:graphic>
          </wp:inline>
        </w:drawing>
      </w:r>
    </w:p>
    <w:p w14:paraId="19523DDD" w14:textId="165CF4D3">
      <w:pPr>
        <w:pStyle w:val="P68B1DB1-Caption6"/>
        <w:rPr>
          <w:rFonts w:ascii="Arial" w:hAnsi="Arial" w:cs="Arial"/>
          <w:color w:val="auto"/>
          <w:u w:val="single"/>
        </w:rPr>
      </w:pPr>
      <w:r>
        <w:t xml:space="preserve">Figura </w:t>
      </w:r>
      <w:r>
        <w:fldChar w:fldCharType="begin"/>
      </w:r>
      <w:r>
        <w:rPr>
          <w:rFonts w:ascii="Arial" w:hAnsi="Arial" w:cs="Arial"/>
          <w:color w:val="auto"/>
          <w:u w:val="single"/>
        </w:rPr>
        <w:instrText xml:space="preserve"> SEQ Figure \* ARABIC </w:instrText>
      </w:r>
      <w:r>
        <w:rPr>
          <w:rFonts w:ascii="Arial" w:hAnsi="Arial" w:cs="Arial"/>
          <w:color w:val="auto"/>
          <w:u w:val="single"/>
        </w:rPr>
        <w:fldChar w:fldCharType="separate"/>
      </w:r>
      <w:r>
        <w:rPr>
          <w:rFonts w:ascii="Arial" w:hAnsi="Arial" w:cs="Arial"/>
          <w:color w:val="auto"/>
          <w:u w:val="single"/>
        </w:rPr>
        <w:t>1</w:t>
      </w:r>
      <w:r>
        <w:rPr>
          <w:rFonts w:ascii="Arial" w:hAnsi="Arial" w:cs="Arial"/>
          <w:color w:val="auto"/>
          <w:u w:val="single"/>
        </w:rPr>
        <w:fldChar w:fldCharType="end"/>
      </w:r>
      <w:r>
        <w:t xml:space="preserve">. Dermátomos da cabeça e couro cabeludo . V1,V2,V3- Divisões do nervo trigêmeo, CP- Plexo cervical, CN- Nervos espinhais cervicais.</w:t>
      </w:r>
    </w:p>
    <w:p w14:paraId="0728F83B" w14:textId="49C79E0A"/>
    <w:p w14:paraId="0A06BEBA" w14:textId="3FCF97EC"/>
    <w:p w14:paraId="1A0414F9" w14:textId="77777777"/>
    <w:p w14:paraId="5620B657" w14:textId="7FBB4D0C">
      <w:pPr>
        <w:spacing w:after="0" w:line="240" w:lineRule="auto"/>
        <w:rPr>
          <w:rFonts w:ascii="Arial" w:hAnsi="Arial" w:cs="Arial"/>
          <w:b/>
          <w:sz w:val="18"/>
          <w:u w:val="single"/>
        </w:rPr>
      </w:pPr>
      <w:r>
        <w:drawing>
          <wp:inline distT="0" distB="0" distL="0" distR="0" wp14:anchorId="38CDC5D3" wp14:editId="02D49FC3">
            <wp:extent cx="3917950" cy="29859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2701" cy="2997236"/>
                    </a:xfrm>
                    <a:prstGeom prst="rect">
                      <a:avLst/>
                    </a:prstGeom>
                    <a:noFill/>
                    <a:ln>
                      <a:noFill/>
                    </a:ln>
                  </pic:spPr>
                </pic:pic>
              </a:graphicData>
            </a:graphic>
          </wp:inline>
        </w:drawing>
      </w:r>
    </w:p>
    <w:p w14:paraId="70B34E90" w14:textId="51A5865E">
      <w:pPr>
        <w:spacing w:after="0" w:line="240" w:lineRule="auto"/>
        <w:rPr>
          <w:rFonts w:ascii="Arial" w:hAnsi="Arial" w:cs="Arial"/>
          <w:b/>
          <w:sz w:val="18"/>
          <w:u w:val="single"/>
        </w:rPr>
        <w:pStyle w:val="P68B1DB1-Normal5"/>
      </w:pPr>
      <w:r>
        <w:t xml:space="preserve">Fig. 2 Pontos de injeção para os nervos do bloco do couro cabeludo mostrados por pontos azuis.</w:t>
      </w:r>
    </w:p>
    <w:p w14:paraId="29D9E040" w14:textId="77777777">
      <w:pPr>
        <w:spacing w:after="0"/>
        <w:rPr>
          <w:rFonts w:ascii="Arial" w:hAnsi="Arial" w:cs="Arial"/>
          <w:b/>
          <w:sz w:val="18"/>
          <w:u w:val="single"/>
        </w:rPr>
        <w:pStyle w:val="P68B1DB1-Normal5"/>
      </w:pPr>
      <w:r>
        <w:t xml:space="preserve">Fonte: Kemp3rd WJ</w:t>
      </w:r>
      <w:r>
        <w:t xml:space="preserve"> et al. sob a licença Creative Commons Atribuição 2.5 2006</w:t>
      </w:r>
    </w:p>
    <w:p w14:paraId="19523DDE" w14:textId="2398DD21">
      <w:pPr>
        <w:pStyle w:val="Caption"/>
      </w:pPr>
    </w:p>
    <w:tbl>
      <w:tblPr>
        <w:tblStyle w:val="GridTable1Light1"/>
        <w:tblW w:w="0" w:type="auto"/>
        <w:tblLook w:val="04A0" w:firstRow="1" w:lastRow="0" w:firstColumn="1" w:lastColumn="0" w:noHBand="0" w:noVBand="1"/>
      </w:tblPr>
      <w:tblGrid>
        <w:gridCol w:w="1668"/>
        <w:gridCol w:w="1668"/>
        <w:gridCol w:w="2691"/>
      </w:tblGrid>
      <w:tr w14:paraId="03BAF57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12" w:space="0" w:color="auto"/>
              <w:left w:val="single" w:sz="12" w:space="0" w:color="auto"/>
              <w:bottom w:val="single" w:sz="12" w:space="0" w:color="auto"/>
              <w:right w:val="single" w:sz="12" w:space="0" w:color="auto"/>
            </w:tcBorders>
            <w:shd w:val="clear" w:color="auto" w:fill="A8D08D" w:themeFill="accent6" w:themeFillTint="99"/>
          </w:tcPr>
          <w:p w14:paraId="76B9A381" w14:textId="77777777">
            <w:pPr>
              <w:rPr>
                <w:rFonts w:ascii="Arial" w:hAnsi="Arial" w:cs="Arial"/>
                <w:sz w:val="16"/>
              </w:rPr>
              <w:pStyle w:val="P68B1DB1-Normal7"/>
            </w:pPr>
            <w:r>
              <w:t xml:space="preserve">ORIGEM </w:t>
            </w:r>
          </w:p>
        </w:tc>
        <w:tc>
          <w:tcPr>
            <w:tcW w:w="1668" w:type="dxa"/>
            <w:tcBorders>
              <w:top w:val="single" w:sz="12" w:space="0" w:color="auto"/>
              <w:left w:val="single" w:sz="12" w:space="0" w:color="auto"/>
              <w:bottom w:val="single" w:sz="12" w:space="0" w:color="auto"/>
              <w:right w:val="single" w:sz="12" w:space="0" w:color="auto"/>
            </w:tcBorders>
            <w:shd w:val="clear" w:color="auto" w:fill="A8D08D" w:themeFill="accent6" w:themeFillTint="99"/>
          </w:tcPr>
          <w:p w14:paraId="4AC287B8" w14:textId="77777777">
            <w:pPr>
              <w:cnfStyle w:val="100000000000" w:firstRow="1" w:lastRow="0" w:firstColumn="0" w:lastColumn="0" w:oddVBand="0" w:evenVBand="0" w:oddHBand="0" w:evenHBand="0" w:firstRowFirstColumn="0" w:firstRowLastColumn="0" w:lastRowFirstColumn="0" w:lastRowLastColumn="0"/>
              <w:rPr>
                <w:rFonts w:ascii="Arial" w:hAnsi="Arial" w:cs="Arial"/>
                <w:sz w:val="16"/>
              </w:rPr>
              <w:pStyle w:val="P68B1DB1-Normal7"/>
            </w:pPr>
            <w:r>
              <w:t xml:space="preserve">NERVO </w:t>
            </w:r>
          </w:p>
        </w:tc>
        <w:tc>
          <w:tcPr>
            <w:tcW w:w="2691" w:type="dxa"/>
            <w:tcBorders>
              <w:top w:val="single" w:sz="12" w:space="0" w:color="auto"/>
              <w:left w:val="single" w:sz="12" w:space="0" w:color="auto"/>
              <w:bottom w:val="single" w:sz="12" w:space="0" w:color="auto"/>
              <w:right w:val="single" w:sz="12" w:space="0" w:color="auto"/>
            </w:tcBorders>
            <w:shd w:val="clear" w:color="auto" w:fill="A8D08D" w:themeFill="accent6" w:themeFillTint="99"/>
          </w:tcPr>
          <w:p w14:paraId="23DD816D" w14:textId="77777777">
            <w:pPr>
              <w:cnfStyle w:val="100000000000" w:firstRow="1" w:lastRow="0" w:firstColumn="0" w:lastColumn="0" w:oddVBand="0" w:evenVBand="0" w:oddHBand="0" w:evenHBand="0" w:firstRowFirstColumn="0" w:firstRowLastColumn="0" w:lastRowFirstColumn="0" w:lastRowLastColumn="0"/>
              <w:rPr>
                <w:rFonts w:ascii="Arial" w:hAnsi="Arial" w:cs="Arial"/>
                <w:sz w:val="16"/>
              </w:rPr>
              <w:pStyle w:val="P68B1DB1-Normal7"/>
            </w:pPr>
            <w:r>
              <w:t xml:space="preserve">ÁREA FORNECIDA</w:t>
            </w:r>
          </w:p>
        </w:tc>
      </w:tr>
      <w:tr w14:paraId="1F7FCFC4" w14:textId="77777777">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12" w:space="0" w:color="auto"/>
              <w:left w:val="single" w:sz="12" w:space="0" w:color="auto"/>
              <w:right w:val="single" w:sz="12" w:space="0" w:color="auto"/>
            </w:tcBorders>
          </w:tcPr>
          <w:p w14:paraId="36667E10" w14:textId="77777777">
            <w:pPr>
              <w:rPr>
                <w:rFonts w:ascii="Arial" w:hAnsi="Arial" w:cs="Arial"/>
                <w:sz w:val="16"/>
              </w:rPr>
              <w:pStyle w:val="P68B1DB1-Normal7"/>
            </w:pPr>
            <w:r>
              <w:t xml:space="preserve">Ramo oftálmico da NC V</w:t>
            </w:r>
          </w:p>
          <w:p w14:paraId="14FF0461" w14:textId="145008BD">
            <w:pPr>
              <w:rPr>
                <w:rFonts w:ascii="Arial" w:hAnsi="Arial" w:cs="Arial"/>
                <w:b w:val="0"/>
                <w:sz w:val="16"/>
              </w:rPr>
            </w:pPr>
          </w:p>
        </w:tc>
        <w:tc>
          <w:tcPr>
            <w:tcW w:w="1668" w:type="dxa"/>
            <w:tcBorders>
              <w:top w:val="single" w:sz="12" w:space="0" w:color="auto"/>
              <w:left w:val="single" w:sz="12" w:space="0" w:color="auto"/>
              <w:right w:val="single" w:sz="12" w:space="0" w:color="auto"/>
            </w:tcBorders>
          </w:tcPr>
          <w:p w14:paraId="1657CB8B" w14:textId="77777777">
            <w:pPr>
              <w:cnfStyle w:val="000000000000" w:firstRow="0" w:lastRow="0" w:firstColumn="0" w:lastColumn="0" w:oddVBand="0" w:evenVBand="0" w:oddHBand="0" w:evenHBand="0" w:firstRowFirstColumn="0" w:firstRowLastColumn="0" w:lastRowFirstColumn="0" w:lastRowLastColumn="0"/>
              <w:rPr>
                <w:rFonts w:ascii="Arial" w:hAnsi="Arial" w:cs="Arial"/>
                <w:b/>
                <w:sz w:val="16"/>
              </w:rPr>
              <w:pStyle w:val="P68B1DB1-Normal7"/>
            </w:pPr>
            <w:r>
              <w:t xml:space="preserve">Nervo supraorbital</w:t>
            </w:r>
          </w:p>
        </w:tc>
        <w:tc>
          <w:tcPr>
            <w:tcW w:w="2691" w:type="dxa"/>
            <w:vMerge w:val="restart"/>
            <w:tcBorders>
              <w:top w:val="single" w:sz="12" w:space="0" w:color="auto"/>
              <w:left w:val="single" w:sz="12" w:space="0" w:color="auto"/>
              <w:right w:val="single" w:sz="12" w:space="0" w:color="auto"/>
            </w:tcBorders>
          </w:tcPr>
          <w:p w14:paraId="40267C6A" w14:textId="6D10F263">
            <w:pPr>
              <w:cnfStyle w:val="000000000000" w:firstRow="0" w:lastRow="0" w:firstColumn="0" w:lastColumn="0" w:oddVBand="0" w:evenVBand="0" w:oddHBand="0" w:evenHBand="0" w:firstRowFirstColumn="0" w:firstRowLastColumn="0" w:lastRowFirstColumn="0" w:lastRowLastColumn="0"/>
              <w:rPr>
                <w:rFonts w:ascii="Arial" w:hAnsi="Arial" w:cs="Arial"/>
                <w:sz w:val="16"/>
              </w:rPr>
              <w:pStyle w:val="P68B1DB1-Normal7"/>
            </w:pPr>
            <w:r>
              <w:t xml:space="preserve">Testa e couro cabeludo anterior</w:t>
            </w:r>
          </w:p>
        </w:tc>
      </w:tr>
      <w:tr w14:paraId="6115F7E3" w14:textId="77777777">
        <w:tc>
          <w:tcPr>
            <w:cnfStyle w:val="001000000000" w:firstRow="0" w:lastRow="0" w:firstColumn="1" w:lastColumn="0" w:oddVBand="0" w:evenVBand="0" w:oddHBand="0" w:evenHBand="0" w:firstRowFirstColumn="0" w:firstRowLastColumn="0" w:lastRowFirstColumn="0" w:lastRowLastColumn="0"/>
            <w:tcW w:w="1668" w:type="dxa"/>
            <w:vMerge/>
            <w:tcBorders>
              <w:left w:val="single" w:sz="12" w:space="0" w:color="auto"/>
              <w:right w:val="single" w:sz="12" w:space="0" w:color="auto"/>
            </w:tcBorders>
          </w:tcPr>
          <w:p w14:paraId="05526334" w14:textId="77777777">
            <w:pPr>
              <w:rPr>
                <w:rFonts w:ascii="Arial" w:hAnsi="Arial" w:cs="Arial"/>
                <w:b w:val="0"/>
                <w:sz w:val="16"/>
              </w:rPr>
            </w:pPr>
          </w:p>
        </w:tc>
        <w:tc>
          <w:tcPr>
            <w:tcW w:w="1668" w:type="dxa"/>
            <w:tcBorders>
              <w:left w:val="single" w:sz="12" w:space="0" w:color="auto"/>
              <w:right w:val="single" w:sz="12" w:space="0" w:color="auto"/>
            </w:tcBorders>
          </w:tcPr>
          <w:p w14:paraId="44B482EE" w14:textId="77777777">
            <w:pPr>
              <w:cnfStyle w:val="000000000000" w:firstRow="0" w:lastRow="0" w:firstColumn="0" w:lastColumn="0" w:oddVBand="0" w:evenVBand="0" w:oddHBand="0" w:evenHBand="0" w:firstRowFirstColumn="0" w:firstRowLastColumn="0" w:lastRowFirstColumn="0" w:lastRowLastColumn="0"/>
              <w:rPr>
                <w:rFonts w:ascii="Arial" w:hAnsi="Arial" w:cs="Arial"/>
                <w:b/>
                <w:sz w:val="16"/>
              </w:rPr>
              <w:pStyle w:val="P68B1DB1-Normal7"/>
            </w:pPr>
            <w:r>
              <w:t xml:space="preserve">Nervo supratroclear</w:t>
            </w:r>
          </w:p>
        </w:tc>
        <w:tc>
          <w:tcPr>
            <w:tcW w:w="2691" w:type="dxa"/>
            <w:vMerge/>
            <w:tcBorders>
              <w:left w:val="single" w:sz="12" w:space="0" w:color="auto"/>
              <w:right w:val="single" w:sz="12" w:space="0" w:color="auto"/>
            </w:tcBorders>
          </w:tcPr>
          <w:p w14:paraId="5C0FB169"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16"/>
              </w:rPr>
            </w:pPr>
          </w:p>
        </w:tc>
      </w:tr>
      <w:tr w14:paraId="6850BA61" w14:textId="77777777">
        <w:tc>
          <w:tcPr>
            <w:cnfStyle w:val="001000000000" w:firstRow="0" w:lastRow="0" w:firstColumn="1" w:lastColumn="0" w:oddVBand="0" w:evenVBand="0" w:oddHBand="0" w:evenHBand="0" w:firstRowFirstColumn="0" w:firstRowLastColumn="0" w:lastRowFirstColumn="0" w:lastRowLastColumn="0"/>
            <w:tcW w:w="1668" w:type="dxa"/>
            <w:tcBorders>
              <w:left w:val="single" w:sz="12" w:space="0" w:color="auto"/>
              <w:right w:val="single" w:sz="12" w:space="0" w:color="auto"/>
            </w:tcBorders>
          </w:tcPr>
          <w:p w14:paraId="22D3AB24" w14:textId="77777777">
            <w:pPr>
              <w:rPr>
                <w:rFonts w:ascii="Arial" w:hAnsi="Arial" w:cs="Arial"/>
                <w:b w:val="0"/>
                <w:sz w:val="16"/>
              </w:rPr>
              <w:pStyle w:val="P68B1DB1-Normal7"/>
            </w:pPr>
            <w:r>
              <w:t xml:space="preserve">Ramo maxilar da NC V</w:t>
            </w:r>
          </w:p>
        </w:tc>
        <w:tc>
          <w:tcPr>
            <w:tcW w:w="1668" w:type="dxa"/>
            <w:tcBorders>
              <w:left w:val="single" w:sz="12" w:space="0" w:color="auto"/>
              <w:right w:val="single" w:sz="12" w:space="0" w:color="auto"/>
            </w:tcBorders>
          </w:tcPr>
          <w:p w14:paraId="2D59383B" w14:textId="77777777">
            <w:pPr>
              <w:cnfStyle w:val="000000000000" w:firstRow="0" w:lastRow="0" w:firstColumn="0" w:lastColumn="0" w:oddVBand="0" w:evenVBand="0" w:oddHBand="0" w:evenHBand="0" w:firstRowFirstColumn="0" w:firstRowLastColumn="0" w:lastRowFirstColumn="0" w:lastRowLastColumn="0"/>
              <w:rPr>
                <w:rFonts w:ascii="Arial" w:hAnsi="Arial" w:cs="Arial"/>
                <w:b/>
                <w:sz w:val="16"/>
              </w:rPr>
              <w:pStyle w:val="P68B1DB1-Normal7"/>
            </w:pPr>
            <w:r>
              <w:t xml:space="preserve">Nervo zigomaticotemporal</w:t>
            </w:r>
          </w:p>
        </w:tc>
        <w:tc>
          <w:tcPr>
            <w:tcW w:w="2691" w:type="dxa"/>
            <w:tcBorders>
              <w:left w:val="single" w:sz="12" w:space="0" w:color="auto"/>
              <w:right w:val="single" w:sz="12" w:space="0" w:color="auto"/>
            </w:tcBorders>
          </w:tcPr>
          <w:p w14:paraId="52CEF318"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16"/>
              </w:rPr>
              <w:pStyle w:val="P68B1DB1-Normal7"/>
            </w:pPr>
            <w:r>
              <w:t xml:space="preserve">Testa e região temporal</w:t>
            </w:r>
          </w:p>
        </w:tc>
      </w:tr>
      <w:tr w14:paraId="6F2D9680" w14:textId="77777777">
        <w:tc>
          <w:tcPr>
            <w:cnfStyle w:val="001000000000" w:firstRow="0" w:lastRow="0" w:firstColumn="1" w:lastColumn="0" w:oddVBand="0" w:evenVBand="0" w:oddHBand="0" w:evenHBand="0" w:firstRowFirstColumn="0" w:firstRowLastColumn="0" w:lastRowFirstColumn="0" w:lastRowLastColumn="0"/>
            <w:tcW w:w="1668" w:type="dxa"/>
            <w:tcBorders>
              <w:left w:val="single" w:sz="12" w:space="0" w:color="auto"/>
              <w:right w:val="single" w:sz="12" w:space="0" w:color="auto"/>
            </w:tcBorders>
          </w:tcPr>
          <w:p w14:paraId="7C0B1332" w14:textId="77777777">
            <w:pPr>
              <w:rPr>
                <w:rFonts w:ascii="Arial" w:hAnsi="Arial" w:cs="Arial"/>
                <w:b w:val="0"/>
                <w:sz w:val="16"/>
              </w:rPr>
              <w:pStyle w:val="P68B1DB1-Normal7"/>
            </w:pPr>
            <w:r>
              <w:t xml:space="preserve">Ramo mandibular da NC V</w:t>
            </w:r>
          </w:p>
        </w:tc>
        <w:tc>
          <w:tcPr>
            <w:tcW w:w="1668" w:type="dxa"/>
            <w:tcBorders>
              <w:left w:val="single" w:sz="12" w:space="0" w:color="auto"/>
              <w:right w:val="single" w:sz="12" w:space="0" w:color="auto"/>
            </w:tcBorders>
          </w:tcPr>
          <w:p w14:paraId="4FEC5DF3" w14:textId="77777777">
            <w:pPr>
              <w:cnfStyle w:val="000000000000" w:firstRow="0" w:lastRow="0" w:firstColumn="0" w:lastColumn="0" w:oddVBand="0" w:evenVBand="0" w:oddHBand="0" w:evenHBand="0" w:firstRowFirstColumn="0" w:firstRowLastColumn="0" w:lastRowFirstColumn="0" w:lastRowLastColumn="0"/>
              <w:rPr>
                <w:rFonts w:ascii="Arial" w:hAnsi="Arial" w:cs="Arial"/>
                <w:b/>
                <w:sz w:val="16"/>
              </w:rPr>
              <w:pStyle w:val="P68B1DB1-Normal7"/>
            </w:pPr>
            <w:r>
              <w:t xml:space="preserve">Nervo auriculotemporal</w:t>
            </w:r>
          </w:p>
        </w:tc>
        <w:tc>
          <w:tcPr>
            <w:tcW w:w="2691" w:type="dxa"/>
            <w:tcBorders>
              <w:left w:val="single" w:sz="12" w:space="0" w:color="auto"/>
              <w:right w:val="single" w:sz="12" w:space="0" w:color="auto"/>
            </w:tcBorders>
          </w:tcPr>
          <w:p w14:paraId="39DD05A0" w14:textId="182210A4">
            <w:pPr>
              <w:cnfStyle w:val="000000000000" w:firstRow="0" w:lastRow="0" w:firstColumn="0" w:lastColumn="0" w:oddVBand="0" w:evenVBand="0" w:oddHBand="0" w:evenHBand="0" w:firstRowFirstColumn="0" w:firstRowLastColumn="0" w:lastRowFirstColumn="0" w:lastRowLastColumn="0"/>
              <w:rPr>
                <w:rFonts w:ascii="Arial" w:hAnsi="Arial" w:cs="Arial"/>
                <w:sz w:val="16"/>
              </w:rPr>
              <w:pStyle w:val="P68B1DB1-Normal7"/>
            </w:pPr>
            <w:r>
              <w:t xml:space="preserve">Áreas temporais, lábio inferior, face inferior, aurícula e couro cabeludo acima da aurícula</w:t>
            </w:r>
          </w:p>
        </w:tc>
      </w:tr>
      <w:tr w14:paraId="735B6906" w14:textId="77777777">
        <w:tc>
          <w:tcPr>
            <w:cnfStyle w:val="001000000000" w:firstRow="0" w:lastRow="0" w:firstColumn="1" w:lastColumn="0" w:oddVBand="0" w:evenVBand="0" w:oddHBand="0" w:evenHBand="0" w:firstRowFirstColumn="0" w:firstRowLastColumn="0" w:lastRowFirstColumn="0" w:lastRowLastColumn="0"/>
            <w:tcW w:w="1668" w:type="dxa"/>
            <w:tcBorders>
              <w:left w:val="single" w:sz="12" w:space="0" w:color="auto"/>
              <w:right w:val="single" w:sz="12" w:space="0" w:color="auto"/>
            </w:tcBorders>
          </w:tcPr>
          <w:p w14:paraId="42F3A25D" w14:textId="77777777">
            <w:pPr>
              <w:rPr>
                <w:rFonts w:ascii="Arial" w:hAnsi="Arial" w:cs="Arial"/>
                <w:b w:val="0"/>
                <w:sz w:val="16"/>
              </w:rPr>
              <w:pStyle w:val="P68B1DB1-Normal7"/>
            </w:pPr>
            <w:r>
              <w:t xml:space="preserve">Ramus posterior de C2</w:t>
            </w:r>
          </w:p>
        </w:tc>
        <w:tc>
          <w:tcPr>
            <w:tcW w:w="1668" w:type="dxa"/>
            <w:tcBorders>
              <w:left w:val="single" w:sz="12" w:space="0" w:color="auto"/>
              <w:right w:val="single" w:sz="12" w:space="0" w:color="auto"/>
            </w:tcBorders>
          </w:tcPr>
          <w:p w14:paraId="17A898FD" w14:textId="77777777">
            <w:pPr>
              <w:cnfStyle w:val="000000000000" w:firstRow="0" w:lastRow="0" w:firstColumn="0" w:lastColumn="0" w:oddVBand="0" w:evenVBand="0" w:oddHBand="0" w:evenHBand="0" w:firstRowFirstColumn="0" w:firstRowLastColumn="0" w:lastRowFirstColumn="0" w:lastRowLastColumn="0"/>
              <w:rPr>
                <w:rFonts w:ascii="Arial" w:hAnsi="Arial" w:cs="Arial"/>
                <w:b/>
                <w:sz w:val="16"/>
              </w:rPr>
              <w:pStyle w:val="P68B1DB1-Normal7"/>
            </w:pPr>
            <w:r>
              <w:t xml:space="preserve">Nervo occipital maior</w:t>
            </w:r>
          </w:p>
        </w:tc>
        <w:tc>
          <w:tcPr>
            <w:tcW w:w="2691" w:type="dxa"/>
            <w:tcBorders>
              <w:left w:val="single" w:sz="12" w:space="0" w:color="auto"/>
              <w:right w:val="single" w:sz="12" w:space="0" w:color="auto"/>
            </w:tcBorders>
          </w:tcPr>
          <w:p w14:paraId="3A01D529" w14:textId="7B1E6EE5">
            <w:pPr>
              <w:cnfStyle w:val="000000000000" w:firstRow="0" w:lastRow="0" w:firstColumn="0" w:lastColumn="0" w:oddVBand="0" w:evenVBand="0" w:oddHBand="0" w:evenHBand="0" w:firstRowFirstColumn="0" w:firstRowLastColumn="0" w:lastRowFirstColumn="0" w:lastRowLastColumn="0"/>
              <w:rPr>
                <w:rFonts w:ascii="Arial" w:hAnsi="Arial" w:cs="Arial"/>
                <w:sz w:val="16"/>
              </w:rPr>
              <w:pStyle w:val="P68B1DB1-Normal7"/>
            </w:pPr>
            <w:r>
              <w:t xml:space="preserve">Couro cabeludo posterior e pele sobre a aurícula</w:t>
            </w:r>
          </w:p>
        </w:tc>
      </w:tr>
      <w:tr w14:paraId="196740B9" w14:textId="77777777">
        <w:tc>
          <w:tcPr>
            <w:cnfStyle w:val="001000000000" w:firstRow="0" w:lastRow="0" w:firstColumn="1" w:lastColumn="0" w:oddVBand="0" w:evenVBand="0" w:oddHBand="0" w:evenHBand="0" w:firstRowFirstColumn="0" w:firstRowLastColumn="0" w:lastRowFirstColumn="0" w:lastRowLastColumn="0"/>
            <w:tcW w:w="1668" w:type="dxa"/>
            <w:tcBorders>
              <w:left w:val="single" w:sz="12" w:space="0" w:color="auto"/>
              <w:bottom w:val="single" w:sz="12" w:space="0" w:color="auto"/>
              <w:right w:val="single" w:sz="12" w:space="0" w:color="auto"/>
            </w:tcBorders>
          </w:tcPr>
          <w:p w14:paraId="14D8F0EF" w14:textId="228B2C94">
            <w:pPr>
              <w:rPr>
                <w:rFonts w:ascii="Arial" w:hAnsi="Arial" w:cs="Arial"/>
                <w:b w:val="0"/>
                <w:sz w:val="16"/>
              </w:rPr>
              <w:pStyle w:val="P68B1DB1-Normal7"/>
            </w:pPr>
            <w:r>
              <w:t xml:space="preserve">Rami ventral de C2,C3</w:t>
            </w:r>
          </w:p>
        </w:tc>
        <w:tc>
          <w:tcPr>
            <w:tcW w:w="1668" w:type="dxa"/>
            <w:tcBorders>
              <w:left w:val="single" w:sz="12" w:space="0" w:color="auto"/>
              <w:bottom w:val="single" w:sz="12" w:space="0" w:color="auto"/>
              <w:right w:val="single" w:sz="12" w:space="0" w:color="auto"/>
            </w:tcBorders>
          </w:tcPr>
          <w:p w14:paraId="619FCE13" w14:textId="77777777">
            <w:pPr>
              <w:cnfStyle w:val="000000000000" w:firstRow="0" w:lastRow="0" w:firstColumn="0" w:lastColumn="0" w:oddVBand="0" w:evenVBand="0" w:oddHBand="0" w:evenHBand="0" w:firstRowFirstColumn="0" w:firstRowLastColumn="0" w:lastRowFirstColumn="0" w:lastRowLastColumn="0"/>
              <w:rPr>
                <w:rFonts w:ascii="Arial" w:hAnsi="Arial" w:cs="Arial"/>
                <w:b/>
                <w:sz w:val="16"/>
              </w:rPr>
              <w:pStyle w:val="P68B1DB1-Normal7"/>
            </w:pPr>
            <w:r>
              <w:t xml:space="preserve">Nervo occipital menor</w:t>
            </w:r>
          </w:p>
        </w:tc>
        <w:tc>
          <w:tcPr>
            <w:tcW w:w="2691" w:type="dxa"/>
            <w:tcBorders>
              <w:left w:val="single" w:sz="12" w:space="0" w:color="auto"/>
              <w:bottom w:val="single" w:sz="12" w:space="0" w:color="auto"/>
              <w:right w:val="single" w:sz="12" w:space="0" w:color="auto"/>
            </w:tcBorders>
          </w:tcPr>
          <w:p w14:paraId="4AB19328" w14:textId="281B0906">
            <w:pPr>
              <w:cnfStyle w:val="000000000000" w:firstRow="0" w:lastRow="0" w:firstColumn="0" w:lastColumn="0" w:oddVBand="0" w:evenVBand="0" w:oddHBand="0" w:evenHBand="0" w:firstRowFirstColumn="0" w:firstRowLastColumn="0" w:lastRowFirstColumn="0" w:lastRowLastColumn="0"/>
              <w:rPr>
                <w:rFonts w:ascii="Arial" w:hAnsi="Arial" w:cs="Arial"/>
                <w:sz w:val="16"/>
              </w:rPr>
              <w:pStyle w:val="P68B1DB1-Normal7"/>
            </w:pPr>
            <w:r>
              <w:t xml:space="preserve">Couro cabeludo na área lateral da cabeça posterior à aurícula</w:t>
            </w:r>
          </w:p>
        </w:tc>
      </w:tr>
    </w:tbl>
    <w:p w14:paraId="1BA1D72B" w14:textId="77777777">
      <w:pPr>
        <w:spacing w:line="240" w:lineRule="auto"/>
        <w:rPr>
          <w:rFonts w:ascii="Arial" w:hAnsi="Arial" w:cs="Arial"/>
          <w:sz w:val="18"/>
          <w:u w:val="single"/>
        </w:rPr>
      </w:pPr>
    </w:p>
    <w:p w14:paraId="3A23DBAD" w14:textId="615480E4">
      <w:pPr>
        <w:spacing w:line="240" w:lineRule="auto"/>
        <w:rPr>
          <w:rFonts w:ascii="Arial" w:hAnsi="Arial" w:cs="Arial"/>
          <w:b/>
          <w:sz w:val="18"/>
          <w:u w:val="single"/>
        </w:rPr>
        <w:pStyle w:val="P68B1DB1-Normal5"/>
      </w:pPr>
      <w:r>
        <w:t xml:space="preserve">Nervos envolvidos no bloco do couro cabeludo e suas propriedades</w:t>
      </w:r>
    </w:p>
    <w:p w14:paraId="01E19EAC" w14:textId="4790D8EB">
      <w:pPr>
        <w:spacing w:line="240" w:lineRule="auto"/>
        <w:rPr>
          <w:rFonts w:ascii="Arial" w:hAnsi="Arial" w:cs="Arial"/>
          <w:b/>
          <w:sz w:val="18"/>
          <w:u w:val="single"/>
        </w:rPr>
      </w:pPr>
    </w:p>
    <w:p w14:paraId="1ADE7E33" w14:textId="608B1CAE">
      <w:pPr>
        <w:spacing w:line="240" w:lineRule="auto"/>
        <w:rPr>
          <w:rFonts w:ascii="Arial" w:hAnsi="Arial" w:cs="Arial"/>
          <w:b/>
          <w:sz w:val="18"/>
          <w:u w:val="single"/>
        </w:rPr>
      </w:pPr>
      <w:r>
        <w:drawing>
          <wp:inline distT="0" distB="0" distL="0" distR="0" wp14:anchorId="111F90CB" wp14:editId="03027F09">
            <wp:extent cx="2603951" cy="1959777"/>
            <wp:effectExtent l="19050" t="0" r="5899" b="0"/>
            <wp:docPr id="4" name="Picture 3" descr="C:\Users\supri\OneDrive\Desktop\scalp blo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ri\OneDrive\Desktop\scalp block2.png"/>
                    <pic:cNvPicPr>
                      <a:picLocks noChangeAspect="1" noChangeArrowheads="1"/>
                    </pic:cNvPicPr>
                  </pic:nvPicPr>
                  <pic:blipFill>
                    <a:blip r:embed="rId7"/>
                    <a:srcRect/>
                    <a:stretch>
                      <a:fillRect/>
                    </a:stretch>
                  </pic:blipFill>
                  <pic:spPr bwMode="auto">
                    <a:xfrm>
                      <a:off x="0" y="0"/>
                      <a:ext cx="2603951" cy="1959777"/>
                    </a:xfrm>
                    <a:prstGeom prst="rect">
                      <a:avLst/>
                    </a:prstGeom>
                    <a:noFill/>
                    <a:ln w="9525">
                      <a:noFill/>
                      <a:miter lim="800000"/>
                      <a:headEnd/>
                      <a:tailEnd/>
                    </a:ln>
                  </pic:spPr>
                </pic:pic>
              </a:graphicData>
            </a:graphic>
          </wp:inline>
        </w:drawing>
        <w:t xml:space="preserve"> </w:t>
        <w:drawing>
          <wp:inline distT="0" distB="0" distL="0" distR="0" wp14:anchorId="22AA62F2" wp14:editId="7DA2906A">
            <wp:extent cx="2605300" cy="1960880"/>
            <wp:effectExtent l="19050" t="0" r="4550" b="0"/>
            <wp:docPr id="8" name="Picture 4" descr="C:\Users\supri\OneDrive\Desktop\scalp bloc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pri\OneDrive\Desktop\scalp block3.png"/>
                    <pic:cNvPicPr>
                      <a:picLocks noChangeAspect="1" noChangeArrowheads="1"/>
                    </pic:cNvPicPr>
                  </pic:nvPicPr>
                  <pic:blipFill>
                    <a:blip r:embed="rId8"/>
                    <a:srcRect/>
                    <a:stretch>
                      <a:fillRect/>
                    </a:stretch>
                  </pic:blipFill>
                  <pic:spPr bwMode="auto">
                    <a:xfrm>
                      <a:off x="0" y="0"/>
                      <a:ext cx="2605300" cy="1960880"/>
                    </a:xfrm>
                    <a:prstGeom prst="rect">
                      <a:avLst/>
                    </a:prstGeom>
                    <a:noFill/>
                    <a:ln w="9525">
                      <a:noFill/>
                      <a:miter lim="800000"/>
                      <a:headEnd/>
                      <a:tailEnd/>
                    </a:ln>
                  </pic:spPr>
                </pic:pic>
              </a:graphicData>
            </a:graphic>
          </wp:inline>
        </w:drawing>
      </w:r>
    </w:p>
    <w:p w14:paraId="3A32F946" w14:textId="36FC259B">
      <w:pPr>
        <w:spacing w:line="240" w:lineRule="auto"/>
        <w:rPr>
          <w:rFonts w:ascii="Arial" w:hAnsi="Arial" w:cs="Arial"/>
          <w:sz w:val="18"/>
        </w:rPr>
        <w:pStyle w:val="P68B1DB1-Normal5"/>
      </w:pPr>
      <w:r>
        <w:t xml:space="preserve">Figura 3 - Conduta do bloqueio do nervo suprorbital (esquerda) e supratroclear (direita). O bloqueio supratroclear é uma extensão medial do bloqueio supraorbital.</w:t>
      </w:r>
    </w:p>
    <w:p w14:paraId="19523DF4" w14:textId="77777777"/>
    <w:p w14:paraId="19523DF5" w14:textId="67222E03">
      <w:r>
        <mc:AlternateContent>
          <mc:Choice Requires="wps">
            <w:drawing>
              <wp:anchor distT="0" distB="0" distL="114300" distR="114300" simplePos="0" relativeHeight="251658240" behindDoc="0" locked="0" layoutInCell="1" allowOverlap="1" wp14:anchorId="43CE586D" wp14:editId="286288AD">
                <wp:simplePos x="0" y="0"/>
                <wp:positionH relativeFrom="column">
                  <wp:posOffset>1612900</wp:posOffset>
                </wp:positionH>
                <wp:positionV relativeFrom="paragraph">
                  <wp:posOffset>1962150</wp:posOffset>
                </wp:positionV>
                <wp:extent cx="514350" cy="349250"/>
                <wp:effectExtent l="12700" t="9525" r="6350" b="1270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49250"/>
                        </a:xfrm>
                        <a:prstGeom prst="rect">
                          <a:avLst/>
                        </a:prstGeom>
                        <a:solidFill>
                          <a:schemeClr val="tx1">
                            <a:lumMod val="100000"/>
                            <a:lumOff val="0"/>
                          </a:schemeClr>
                        </a:solidFill>
                        <a:ln w="12700">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AlternateContent>
        <w:drawing>
          <wp:inline distT="0" distB="0" distL="0" distR="0" wp14:anchorId="2EF2DF30" wp14:editId="1AFEAC44">
            <wp:extent cx="3625850" cy="27195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9854" cy="2737592"/>
                    </a:xfrm>
                    <a:prstGeom prst="rect">
                      <a:avLst/>
                    </a:prstGeom>
                    <a:noFill/>
                    <a:ln>
                      <a:noFill/>
                    </a:ln>
                  </pic:spPr>
                </pic:pic>
              </a:graphicData>
            </a:graphic>
          </wp:inline>
        </w:drawing>
      </w:r>
    </w:p>
    <w:p w14:paraId="19523DFC" w14:textId="1D2E5873">
      <w:pPr>
        <w:rPr>
          <w:rFonts w:ascii="Arial" w:hAnsi="Arial" w:cs="Arial"/>
          <w:b/>
          <w:sz w:val="18"/>
          <w:u w:val="single"/>
        </w:rPr>
        <w:pStyle w:val="P68B1DB1-Normal5"/>
      </w:pPr>
      <w:r>
        <w:t xml:space="preserve">Figura 4 - Condução do bloqueio zigomático-temporal. As linhas pontilhadas mostram a margem supraorbital e o arco zigomático.</w:t>
      </w:r>
    </w:p>
    <w:p w14:paraId="19523DFE" w14:textId="77777777">
      <w:r>
        <w:drawing>
          <wp:inline distT="0" distB="0" distL="0" distR="0" wp14:anchorId="19523E09" wp14:editId="19523E0A">
            <wp:extent cx="3734874" cy="2809240"/>
            <wp:effectExtent l="19050" t="0" r="0" b="0"/>
            <wp:docPr id="14" name="Picture 6" descr="C:\Users\supri\OneDrive\Desktop\scalp bloc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pri\OneDrive\Desktop\scalp block5.png"/>
                    <pic:cNvPicPr>
                      <a:picLocks noChangeAspect="1" noChangeArrowheads="1"/>
                    </pic:cNvPicPr>
                  </pic:nvPicPr>
                  <pic:blipFill>
                    <a:blip r:embed="rId10"/>
                    <a:srcRect/>
                    <a:stretch>
                      <a:fillRect/>
                    </a:stretch>
                  </pic:blipFill>
                  <pic:spPr bwMode="auto">
                    <a:xfrm>
                      <a:off x="0" y="0"/>
                      <a:ext cx="3734874" cy="2809240"/>
                    </a:xfrm>
                    <a:prstGeom prst="rect">
                      <a:avLst/>
                    </a:prstGeom>
                    <a:noFill/>
                    <a:ln w="9525">
                      <a:noFill/>
                      <a:miter lim="800000"/>
                      <a:headEnd/>
                      <a:tailEnd/>
                    </a:ln>
                  </pic:spPr>
                </pic:pic>
              </a:graphicData>
            </a:graphic>
          </wp:inline>
        </w:drawing>
      </w:r>
    </w:p>
    <w:p w14:paraId="37BBB2DE" w14:textId="30F08196">
      <w:pPr>
        <w:rPr>
          <w:rFonts w:ascii="Arial" w:hAnsi="Arial" w:cs="Arial"/>
          <w:b/>
          <w:sz w:val="18"/>
          <w:u w:val="single"/>
        </w:rPr>
        <w:pStyle w:val="P68B1DB1-Normal5"/>
      </w:pPr>
      <w:r>
        <w:t xml:space="preserve">Figura 5 - Conduta do bloqueio auriculotemporal.</w:t>
      </w:r>
    </w:p>
    <w:p w14:paraId="15D69051" w14:textId="4309AD7B"/>
    <w:p w14:paraId="333BBAC2" w14:textId="77777777"/>
    <w:p w14:paraId="34CE929D" w14:textId="77777777"/>
    <w:p w14:paraId="3F477719" w14:textId="77777777"/>
    <w:p w14:paraId="1F3AF361" w14:textId="77777777"/>
    <w:p w14:paraId="56EF91CA" w14:textId="77777777"/>
    <w:p w14:paraId="309EEB73" w14:textId="77777777"/>
    <w:p w14:paraId="3D2014FE" w14:textId="77777777">
      <w:pPr>
        <w:rPr>
          <w:rFonts w:ascii="Arial" w:hAnsi="Arial" w:cs="Arial"/>
          <w:b/>
          <w:sz w:val="18"/>
          <w:u w:val="single"/>
        </w:rPr>
      </w:pPr>
    </w:p>
    <w:p w14:paraId="19523DFF" w14:textId="77777777"/>
    <w:p w14:paraId="19523E00" w14:textId="086A8FEA">
      <w:r>
        <w:drawing>
          <wp:inline distT="0" distB="0" distL="0" distR="0" wp14:anchorId="34EDFFF4" wp14:editId="3D5A7D77">
            <wp:extent cx="5731510" cy="57315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9198EE1" w14:textId="77777777">
      <w:pPr>
        <w:rPr>
          <w:rFonts w:ascii="Arial" w:hAnsi="Arial" w:cs="Arial"/>
          <w:b/>
          <w:sz w:val="18"/>
          <w:u w:val="single"/>
        </w:rPr>
        <w:pStyle w:val="P68B1DB1-Normal5"/>
      </w:pPr>
      <w:r>
        <w:t xml:space="preserve">Figura 6- Conduta dos bloqueios do nervo occipital maior e menor.</w:t>
      </w:r>
    </w:p>
    <w:p w14:paraId="5ED2D3F0" w14:textId="77777777"/>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683D6E"/>
    <w:multiLevelType w:val="hybridMultilevel"/>
    <w:tmpl w:val="154C65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93370FA"/>
    <w:multiLevelType w:val="hybridMultilevel"/>
    <w:tmpl w:val="954CE7E6"/>
    <w:lvl w:ilvl="0" w:tplc="0E042424">
      <w:start w:val="1"/>
      <w:numFmt w:val="decimal"/>
      <w:lvlText w:val="%1)"/>
      <w:lvlJc w:val="left"/>
      <w:pPr>
        <w:ind w:left="360" w:hanging="360"/>
      </w:pPr>
      <w:rPr>
        <w:rFonts w:hint="default"/>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984315988">
    <w:abstractNumId w:val="1"/>
  </w:num>
  <w:num w:numId="2" w16cid:durableId="1065101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F1E"/>
    <w:rsid w:val="00000F82"/>
    <w:rsid w:val="00003239"/>
    <w:rsid w:val="000044AE"/>
    <w:rsid w:val="00034BEC"/>
    <w:rsid w:val="000370A8"/>
    <w:rsid w:val="000E31E7"/>
    <w:rsid w:val="000F2483"/>
    <w:rsid w:val="00164447"/>
    <w:rsid w:val="001766BB"/>
    <w:rsid w:val="00176725"/>
    <w:rsid w:val="001A2868"/>
    <w:rsid w:val="001A2F1E"/>
    <w:rsid w:val="001F26A7"/>
    <w:rsid w:val="002072E1"/>
    <w:rsid w:val="002B5DEA"/>
    <w:rsid w:val="002C4AB6"/>
    <w:rsid w:val="003A11CE"/>
    <w:rsid w:val="003B3CC5"/>
    <w:rsid w:val="003D5BAC"/>
    <w:rsid w:val="00476EEC"/>
    <w:rsid w:val="004907AE"/>
    <w:rsid w:val="005554B8"/>
    <w:rsid w:val="00576983"/>
    <w:rsid w:val="005839AE"/>
    <w:rsid w:val="00584D64"/>
    <w:rsid w:val="006712FE"/>
    <w:rsid w:val="006D5A6A"/>
    <w:rsid w:val="00773B71"/>
    <w:rsid w:val="007D33FE"/>
    <w:rsid w:val="007F3010"/>
    <w:rsid w:val="008000EA"/>
    <w:rsid w:val="008A21DE"/>
    <w:rsid w:val="008A5374"/>
    <w:rsid w:val="00914A4B"/>
    <w:rsid w:val="00917013"/>
    <w:rsid w:val="009236D3"/>
    <w:rsid w:val="00A17F72"/>
    <w:rsid w:val="00A72434"/>
    <w:rsid w:val="00A9061B"/>
    <w:rsid w:val="00AA3A2F"/>
    <w:rsid w:val="00AB2B47"/>
    <w:rsid w:val="00AD0747"/>
    <w:rsid w:val="00AE78A1"/>
    <w:rsid w:val="00B932A2"/>
    <w:rsid w:val="00BF7393"/>
    <w:rsid w:val="00C32E6B"/>
    <w:rsid w:val="00C414B3"/>
    <w:rsid w:val="00C94C35"/>
    <w:rsid w:val="00CB7647"/>
    <w:rsid w:val="00D97FEA"/>
    <w:rsid w:val="00E05B25"/>
    <w:rsid w:val="00E15367"/>
    <w:rsid w:val="00F94E17"/>
  </w:rsids>
  <m:mathPr>
    <m:mathFont m:val="Cambria Math"/>
    <m:brkBin m:val="before"/>
    <m:brkBinSub m:val="--"/>
    <m:smallFrac/>
    <m:dispDef/>
    <m:lMargin m:val="0"/>
    <m:rMargin m:val="0"/>
    <m:defJc m:val="centerGroup"/>
    <m:wrapIndent m:val="1440"/>
    <m:intLim m:val="subSup"/>
    <m:naryLim m:val="undOvr"/>
  </m:mathPr>
  <w:themeFontLang w:val="pt-BR"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523DDC"/>
  <w15:docId w15:val="{17A7BDA2-67F0-4B90-964C-C66961A86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pPr>
        <w:spacing w:after="160" w:line="259" w:lineRule="auto"/>
      </w:pPr>
    </w:pPrDefault>
    <w:rPrDefault>
      <w:rPr>
        <w:rFonts w:asciiTheme="minorHAnsi" w:hAnsiTheme="minorHAnsi" w:cstheme="minorBidi" w:eastAsiaTheme="minorHAnsi"/>
        <w:sz w:val="22"/>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F1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1Light1">
    <w:name w:val="Grid Table 1 Light1"/>
    <w:basedOn w:val="TableNormal"/>
    <w:uiPriority w:val="46"/>
    <w:rsid w:val="001A2F1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1A2F1E"/>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1A2F1E"/>
    <w:rPr>
      <w:rFonts w:ascii="Tahoma" w:hAnsi="Tahoma" w:cs="Tahoma"/>
      <w:sz w:val="16"/>
    </w:rPr>
  </w:style>
  <w:style w:type="character" w:styleId="CommentReference">
    <w:name w:val="annotation reference"/>
    <w:basedOn w:val="DefaultParagraphFont"/>
    <w:uiPriority w:val="99"/>
    <w:semiHidden/>
    <w:unhideWhenUsed/>
    <w:rsid w:val="00C414B3"/>
    <w:rPr>
      <w:sz w:val="18"/>
    </w:rPr>
  </w:style>
  <w:style w:type="paragraph" w:styleId="CommentText">
    <w:name w:val="annotation text"/>
    <w:basedOn w:val="Normal"/>
    <w:link w:val="CommentTextChar"/>
    <w:uiPriority w:val="99"/>
    <w:semiHidden/>
    <w:unhideWhenUsed/>
    <w:rsid w:val="00C414B3"/>
    <w:pPr>
      <w:spacing w:line="240" w:lineRule="auto"/>
    </w:pPr>
    <w:rPr>
      <w:sz w:val="24"/>
    </w:rPr>
  </w:style>
  <w:style w:type="character" w:customStyle="1" w:styleId="CommentTextChar">
    <w:name w:val="Comment Text Char"/>
    <w:basedOn w:val="DefaultParagraphFont"/>
    <w:link w:val="CommentText"/>
    <w:uiPriority w:val="99"/>
    <w:semiHidden/>
    <w:rsid w:val="00C414B3"/>
    <w:rPr>
      <w:sz w:val="24"/>
    </w:rPr>
  </w:style>
  <w:style w:type="paragraph" w:styleId="CommentSubject">
    <w:name w:val="annotation subject"/>
    <w:basedOn w:val="CommentText"/>
    <w:next w:val="CommentText"/>
    <w:link w:val="CommentSubjectChar"/>
    <w:uiPriority w:val="99"/>
    <w:semiHidden/>
    <w:unhideWhenUsed/>
    <w:rsid w:val="00C414B3"/>
    <w:rPr>
      <w:b/>
      <w:sz w:val="20"/>
    </w:rPr>
  </w:style>
  <w:style w:type="character" w:customStyle="1" w:styleId="CommentSubjectChar">
    <w:name w:val="Comment Subject Char"/>
    <w:basedOn w:val="CommentTextChar"/>
    <w:link w:val="CommentSubject"/>
    <w:uiPriority w:val="99"/>
    <w:semiHidden/>
    <w:rsid w:val="00C414B3"/>
    <w:rPr>
      <w:b/>
      <w:sz w:val="20"/>
    </w:rPr>
  </w:style>
  <w:style w:type="paragraph" w:styleId="Caption">
    <w:name w:val="caption"/>
    <w:basedOn w:val="Normal"/>
    <w:next w:val="Normal"/>
    <w:uiPriority w:val="35"/>
    <w:unhideWhenUsed/>
    <w:qFormat/>
    <w:rsid w:val="008A5374"/>
    <w:pPr>
      <w:spacing w:line="240" w:lineRule="auto"/>
    </w:pPr>
    <w:rPr>
      <w:b/>
      <w:color w:val="5B9BD5" w:themeColor="accent1"/>
      <w:sz w:val="18"/>
    </w:rPr>
  </w:style>
  <w:style w:type="table" w:styleId="TableGrid">
    <w:name w:val="Table Grid"/>
    <w:basedOn w:val="TableNormal"/>
    <w:uiPriority w:val="59"/>
    <w:rsid w:val="00914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4A4B"/>
    <w:pPr>
      <w:ind w:left="720"/>
      <w:contextualSpacing/>
    </w:pPr>
  </w:style>
  <w:style w:type="paragraph" w:styleId="Revision">
    <w:name w:val="Revision"/>
    <w:hidden/>
    <w:uiPriority w:val="99"/>
    <w:semiHidden/>
    <w:rsid w:val="00A17F72"/>
    <w:pPr>
      <w:spacing w:after="0" w:line="240" w:lineRule="auto"/>
    </w:pPr>
  </w:style>
  <w:style w:type="paragraph" w:styleId="P68B1DB1-Normal1">
    <w:name w:val="P68B1DB1-Normal1"/>
    <w:basedOn w:val="Normal"/>
    <w:rPr>
      <w:rFonts w:ascii="Arial" w:hAnsi="Arial" w:cs="Arial"/>
      <w:b/>
      <w:sz w:val="18"/>
    </w:rPr>
  </w:style>
  <w:style w:type="paragraph" w:styleId="P68B1DB1-ListParagraph2">
    <w:name w:val="P68B1DB1-ListParagraph2"/>
    <w:basedOn w:val="ListParagraph"/>
    <w:rPr>
      <w:rFonts w:ascii="Arial" w:hAnsi="Arial" w:cs="Arial"/>
      <w:sz w:val="18"/>
    </w:rPr>
  </w:style>
  <w:style w:type="paragraph" w:styleId="P68B1DB1-Normal3">
    <w:name w:val="P68B1DB1-Normal3"/>
    <w:basedOn w:val="Normal"/>
    <w:rPr>
      <w:rFonts w:ascii="Arial" w:hAnsi="Arial" w:cs="Arial"/>
      <w:sz w:val="18"/>
    </w:rPr>
  </w:style>
  <w:style w:type="paragraph" w:styleId="P68B1DB1-Normal4">
    <w:name w:val="P68B1DB1-Normal4"/>
    <w:basedOn w:val="Normal"/>
    <w:rPr>
      <w:rFonts w:ascii="Arial" w:hAnsi="Arial" w:cs="Arial"/>
      <w:b/>
      <w:sz w:val="20"/>
      <w:u w:val="single"/>
    </w:rPr>
  </w:style>
  <w:style w:type="paragraph" w:styleId="P68B1DB1-Normal5">
    <w:name w:val="P68B1DB1-Normal5"/>
    <w:basedOn w:val="Normal"/>
    <w:rPr>
      <w:rFonts w:ascii="Arial" w:hAnsi="Arial" w:cs="Arial"/>
      <w:b/>
      <w:sz w:val="18"/>
      <w:u w:val="single"/>
    </w:rPr>
  </w:style>
  <w:style w:type="paragraph" w:styleId="P68B1DB1-Caption6">
    <w:name w:val="P68B1DB1-Caption6"/>
    <w:basedOn w:val="Caption"/>
    <w:rPr>
      <w:rFonts w:ascii="Arial" w:hAnsi="Arial" w:cs="Arial"/>
      <w:color w:val="auto"/>
      <w:u w:val="single"/>
    </w:rPr>
  </w:style>
  <w:style w:type="paragraph" w:styleId="P68B1DB1-Normal7">
    <w:name w:val="P68B1DB1-Normal7"/>
    <w:basedOn w:val="Normal"/>
    <w:rPr>
      <w:rFonts w:ascii="Arial" w:hAnsi="Arial" w:cs="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customXml" Target="../customXml/item2.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2F932ED62B9A47AD1548F009084528" ma:contentTypeVersion="16" ma:contentTypeDescription="Create a new document." ma:contentTypeScope="" ma:versionID="80ba5e24539e2807f96a863facd2f8a0">
  <xsd:schema xmlns:xsd="http://www.w3.org/2001/XMLSchema" xmlns:xs="http://www.w3.org/2001/XMLSchema" xmlns:p="http://schemas.microsoft.com/office/2006/metadata/properties" xmlns:ns2="de0503a7-e94b-4ab6-bd85-44d094c9d17e" xmlns:ns3="5bb87b72-ba1d-4f79-8ec1-b70cd0963129" targetNamespace="http://schemas.microsoft.com/office/2006/metadata/properties" ma:root="true" ma:fieldsID="060a905adf774b0eb271f523c5013e3c" ns2:_="" ns3:_="">
    <xsd:import namespace="de0503a7-e94b-4ab6-bd85-44d094c9d17e"/>
    <xsd:import namespace="5bb87b72-ba1d-4f79-8ec1-b70cd09631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0503a7-e94b-4ab6-bd85-44d094c9d17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488e1a-ea4c-43cb-b247-ef7458f0eed2}" ma:internalName="TaxCatchAll" ma:showField="CatchAllData" ma:web="de0503a7-e94b-4ab6-bd85-44d094c9d1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bb87b72-ba1d-4f79-8ec1-b70cd09631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bcc1fbb-dda5-4ea9-8d98-0a98ce354c8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bb87b72-ba1d-4f79-8ec1-b70cd0963129">
      <Terms xmlns="http://schemas.microsoft.com/office/infopath/2007/PartnerControls"/>
    </lcf76f155ced4ddcb4097134ff3c332f>
    <TaxCatchAll xmlns="de0503a7-e94b-4ab6-bd85-44d094c9d17e" xsi:nil="true"/>
  </documentManagement>
</p:properties>
</file>

<file path=customXml/itemProps1.xml><?xml version="1.0" encoding="utf-8"?>
<ds:datastoreItem xmlns:ds="http://schemas.openxmlformats.org/officeDocument/2006/customXml" ds:itemID="{C391418E-C512-47AE-B822-BD819FB1735C}"/>
</file>

<file path=customXml/itemProps2.xml><?xml version="1.0" encoding="utf-8"?>
<ds:datastoreItem xmlns:ds="http://schemas.openxmlformats.org/officeDocument/2006/customXml" ds:itemID="{DCE116DE-7C81-41AD-BAE9-0C8B3FA951BD}"/>
</file>

<file path=customXml/itemProps3.xml><?xml version="1.0" encoding="utf-8"?>
<ds:datastoreItem xmlns:ds="http://schemas.openxmlformats.org/officeDocument/2006/customXml" ds:itemID="{68DC2380-1E68-4DCD-A8BD-0A390BCEDAAC}"/>
</file>

<file path=docProps/app.xml><?xml version="1.0" encoding="utf-8"?>
<Properties xmlns="http://schemas.openxmlformats.org/officeDocument/2006/extended-properties" xmlns:vt="http://schemas.openxmlformats.org/officeDocument/2006/docPropsVTypes">
  <Template>Normal.dotm</Template>
  <TotalTime>1</TotalTime>
  <Pages>5</Pages>
  <Words>466</Words>
  <Characters>2661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c:creator>
  <cp:lastModifiedBy>Lilaonitkul, Maytinee</cp:lastModifiedBy>
  <cp:revision>3</cp:revision>
  <dcterms:created xsi:type="dcterms:W3CDTF">2022-02-22T17:04:00Z</dcterms:created>
  <dcterms:modified xsi:type="dcterms:W3CDTF">2022-06-23T07:11:00Z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0x010100032F932ED62B9A47AD1548F009084528</vt:lpwstr>
  </property>
  <property fmtid="{D5CDD505-2E9C-101B-9397-08002B2CF9AE}" pid="3" name="MediaServiceImageTags">
    <vt:lpwstr/>
  </property>
</Properties>
</file>