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045E523" wp14:paraId="5C1A07E2" wp14:textId="5DE5187F">
      <w:pPr>
        <w:pStyle w:val="Heading1"/>
      </w:pPr>
      <w:r w:rsidR="1464F5C7">
        <w:rPr/>
        <w:t xml:space="preserve">A </w:t>
      </w:r>
      <w:r w:rsidR="1464F5C7">
        <w:rPr/>
        <w:t>Via</w:t>
      </w:r>
      <w:r w:rsidR="1464F5C7">
        <w:rPr/>
        <w:t xml:space="preserve"> Aérea </w:t>
      </w:r>
      <w:r w:rsidR="1464F5C7">
        <w:rPr/>
        <w:t>Fisiologicamente</w:t>
      </w:r>
      <w:r w:rsidR="1464F5C7">
        <w:rPr/>
        <w:t xml:space="preserve"> Difícil</w:t>
      </w:r>
    </w:p>
    <w:p w:rsidR="1464F5C7" w:rsidP="3045E523" w:rsidRDefault="1464F5C7" w14:paraId="1B7A5BB9" w14:textId="24F38274">
      <w:pPr>
        <w:spacing w:before="1" w:beforeAutospacing="off" w:after="0" w:afterAutospacing="off" w:line="245" w:lineRule="auto"/>
        <w:ind w:left="112" w:right="3072" w:hanging="1"/>
      </w:pPr>
      <w:r w:rsidRPr="3045E523" w:rsidR="1464F5C7">
        <w:rPr>
          <w:rFonts w:ascii="Arial" w:hAnsi="Arial" w:eastAsia="Arial" w:cs="Arial"/>
          <w:noProof w:val="0"/>
          <w:sz w:val="22"/>
          <w:szCs w:val="22"/>
          <w:lang w:val="en-US"/>
        </w:rPr>
        <w:t>Dr Dawson Lafleur</w:t>
      </w:r>
      <w:r w:rsidRPr="3045E523" w:rsidR="1464F5C7">
        <w:rPr>
          <w:rFonts w:ascii="Arial" w:hAnsi="Arial" w:eastAsia="Arial" w:cs="Arial"/>
          <w:noProof w:val="0"/>
          <w:sz w:val="22"/>
          <w:szCs w:val="22"/>
          <w:vertAlign w:val="superscript"/>
          <w:lang w:val="en-US"/>
        </w:rPr>
        <w:t>1†</w:t>
      </w:r>
      <w:r w:rsidRPr="3045E523" w:rsidR="1464F5C7">
        <w:rPr>
          <w:rFonts w:ascii="Arial" w:hAnsi="Arial" w:eastAsia="Arial" w:cs="Arial"/>
          <w:noProof w:val="0"/>
          <w:sz w:val="22"/>
          <w:szCs w:val="22"/>
          <w:lang w:val="en-US"/>
        </w:rPr>
        <w:t>, Dr Daenis Camire´</w:t>
      </w:r>
      <w:r w:rsidRPr="3045E523" w:rsidR="1464F5C7">
        <w:rPr>
          <w:rFonts w:ascii="Arial" w:hAnsi="Arial" w:eastAsia="Arial" w:cs="Arial"/>
          <w:noProof w:val="0"/>
          <w:sz w:val="22"/>
          <w:szCs w:val="22"/>
          <w:vertAlign w:val="superscript"/>
          <w:lang w:val="en-US"/>
        </w:rPr>
        <w:t>2</w:t>
      </w:r>
      <w:r w:rsidRPr="3045E523" w:rsidR="1464F5C7">
        <w:rPr>
          <w:rFonts w:ascii="Arial" w:hAnsi="Arial" w:eastAsia="Arial" w:cs="Arial"/>
          <w:noProof w:val="0"/>
          <w:sz w:val="22"/>
          <w:szCs w:val="22"/>
          <w:lang w:val="en-US"/>
        </w:rPr>
        <w:t>, Dr Glenio B. Mizubuti</w:t>
      </w:r>
      <w:r w:rsidRPr="3045E523" w:rsidR="1464F5C7">
        <w:rPr>
          <w:rFonts w:ascii="Arial" w:hAnsi="Arial" w:eastAsia="Arial" w:cs="Arial"/>
          <w:noProof w:val="0"/>
          <w:sz w:val="22"/>
          <w:szCs w:val="22"/>
          <w:vertAlign w:val="superscript"/>
          <w:lang w:val="en-US"/>
        </w:rPr>
        <w:t>3</w:t>
      </w:r>
      <w:r w:rsidRPr="3045E523" w:rsidR="1464F5C7">
        <w:rPr>
          <w:rFonts w:ascii="Arial" w:hAnsi="Arial" w:eastAsia="Arial" w:cs="Arial"/>
          <w:noProof w:val="0"/>
          <w:sz w:val="22"/>
          <w:szCs w:val="22"/>
          <w:lang w:val="en-US"/>
        </w:rPr>
        <w:t>, Dr Frederick Mihm</w:t>
      </w:r>
      <w:r w:rsidRPr="3045E523" w:rsidR="1464F5C7">
        <w:rPr>
          <w:rFonts w:ascii="Arial" w:hAnsi="Arial" w:eastAsia="Arial" w:cs="Arial"/>
          <w:noProof w:val="0"/>
          <w:sz w:val="22"/>
          <w:szCs w:val="22"/>
          <w:vertAlign w:val="superscript"/>
          <w:lang w:val="en-US"/>
        </w:rPr>
        <w:t>4</w:t>
      </w:r>
    </w:p>
    <w:p w:rsidR="1464F5C7" w:rsidP="3045E523" w:rsidRDefault="1464F5C7" w14:paraId="495936E0" w14:textId="2FA54360">
      <w:pPr>
        <w:spacing w:before="219" w:beforeAutospacing="off" w:after="0" w:afterAutospacing="off" w:line="252" w:lineRule="auto"/>
        <w:ind w:left="112" w:right="3590"/>
      </w:pPr>
      <w:r w:rsidRPr="3045E523" w:rsidR="1464F5C7">
        <w:rPr>
          <w:rFonts w:ascii="Arial" w:hAnsi="Arial" w:eastAsia="Arial" w:cs="Arial"/>
          <w:noProof w:val="0"/>
          <w:sz w:val="18"/>
          <w:szCs w:val="18"/>
          <w:vertAlign w:val="superscript"/>
          <w:lang w:val="en-US"/>
        </w:rPr>
        <w:t>1</w:t>
      </w:r>
      <w:r w:rsidRPr="3045E523" w:rsidR="1464F5C7">
        <w:rPr>
          <w:rFonts w:ascii="Arial" w:hAnsi="Arial" w:eastAsia="Arial" w:cs="Arial"/>
          <w:noProof w:val="0"/>
          <w:sz w:val="18"/>
          <w:szCs w:val="18"/>
          <w:lang w:val="en-US"/>
        </w:rPr>
        <w:t xml:space="preserve">Anesthesiology Resident, Kingston Health Sciences Centre, Canada </w:t>
      </w:r>
      <w:r w:rsidRPr="3045E523" w:rsidR="1464F5C7">
        <w:rPr>
          <w:rFonts w:ascii="Arial" w:hAnsi="Arial" w:eastAsia="Arial" w:cs="Arial"/>
          <w:noProof w:val="0"/>
          <w:sz w:val="18"/>
          <w:szCs w:val="18"/>
          <w:vertAlign w:val="superscript"/>
          <w:lang w:val="en-US"/>
        </w:rPr>
        <w:t>2</w:t>
      </w:r>
      <w:r w:rsidRPr="3045E523" w:rsidR="1464F5C7">
        <w:rPr>
          <w:rFonts w:ascii="Arial" w:hAnsi="Arial" w:eastAsia="Arial" w:cs="Arial"/>
          <w:noProof w:val="0"/>
          <w:sz w:val="18"/>
          <w:szCs w:val="18"/>
          <w:lang w:val="en-US"/>
        </w:rPr>
        <w:t>Anesthesia Critical Care Medicine Fellow, Stanford University, Stanford, California, USA</w:t>
      </w:r>
    </w:p>
    <w:p w:rsidR="1464F5C7" w:rsidP="3045E523" w:rsidRDefault="1464F5C7" w14:paraId="54BFB863" w14:textId="62C31177">
      <w:pPr>
        <w:spacing w:before="2" w:beforeAutospacing="off" w:after="0" w:afterAutospacing="off" w:line="252" w:lineRule="auto"/>
        <w:ind w:left="112" w:right="3072"/>
      </w:pPr>
      <w:r w:rsidRPr="3045E523" w:rsidR="1464F5C7">
        <w:rPr>
          <w:rFonts w:ascii="Arial" w:hAnsi="Arial" w:eastAsia="Arial" w:cs="Arial"/>
          <w:noProof w:val="0"/>
          <w:sz w:val="18"/>
          <w:szCs w:val="18"/>
          <w:vertAlign w:val="superscript"/>
          <w:lang w:val="en-US"/>
        </w:rPr>
        <w:t>3</w:t>
      </w:r>
      <w:r w:rsidRPr="3045E523" w:rsidR="1464F5C7">
        <w:rPr>
          <w:rFonts w:ascii="Arial" w:hAnsi="Arial" w:eastAsia="Arial" w:cs="Arial"/>
          <w:noProof w:val="0"/>
          <w:sz w:val="18"/>
          <w:szCs w:val="18"/>
          <w:lang w:val="en-US"/>
        </w:rPr>
        <w:t>Supervising Consultant, Anaesthesia Consultant &amp; Associate Professor, Queen’s University, Kingston Health Sciences Centre, Canada</w:t>
      </w:r>
    </w:p>
    <w:p w:rsidR="1464F5C7" w:rsidP="3045E523" w:rsidRDefault="1464F5C7" w14:paraId="093947E4" w14:textId="5061C37F">
      <w:pPr>
        <w:spacing w:before="1" w:beforeAutospacing="off" w:after="0" w:afterAutospacing="off" w:line="252" w:lineRule="auto"/>
        <w:ind w:left="112" w:right="3072"/>
      </w:pPr>
      <w:r w:rsidRPr="3045E523" w:rsidR="1464F5C7">
        <w:rPr>
          <w:rFonts w:ascii="Arial" w:hAnsi="Arial" w:eastAsia="Arial" w:cs="Arial"/>
          <w:noProof w:val="0"/>
          <w:sz w:val="18"/>
          <w:szCs w:val="18"/>
          <w:vertAlign w:val="superscript"/>
          <w:lang w:val="en-US"/>
        </w:rPr>
        <w:t>4</w:t>
      </w:r>
      <w:r w:rsidRPr="3045E523" w:rsidR="1464F5C7">
        <w:rPr>
          <w:rFonts w:ascii="Arial" w:hAnsi="Arial" w:eastAsia="Arial" w:cs="Arial"/>
          <w:noProof w:val="0"/>
          <w:sz w:val="18"/>
          <w:szCs w:val="18"/>
          <w:lang w:val="en-US"/>
        </w:rPr>
        <w:t>Second Supervising Consultant, Anaesthesia Critical Care Medicine, Professor, Stanford University, Stanford, California, USA</w:t>
      </w:r>
    </w:p>
    <w:p w:rsidR="1464F5C7" w:rsidP="3045E523" w:rsidRDefault="1464F5C7" w14:paraId="7A60383F" w14:textId="78FF37C6">
      <w:pPr>
        <w:spacing w:before="14" w:beforeAutospacing="off"/>
        <w:ind w:left="-20" w:right="-20"/>
      </w:pPr>
      <w:r w:rsidRPr="3045E523" w:rsidR="1464F5C7">
        <w:rPr>
          <w:rFonts w:ascii="Arial" w:hAnsi="Arial" w:eastAsia="Arial" w:cs="Arial"/>
          <w:noProof w:val="0"/>
          <w:sz w:val="18"/>
          <w:szCs w:val="18"/>
          <w:lang w:val="en-US"/>
        </w:rPr>
        <w:t xml:space="preserve"> </w:t>
      </w:r>
    </w:p>
    <w:p w:rsidR="1464F5C7" w:rsidP="3045E523" w:rsidRDefault="1464F5C7" w14:paraId="54EF412B" w14:textId="1BCCAE2A">
      <w:pPr>
        <w:spacing w:after="0" w:afterAutospacing="off" w:line="252" w:lineRule="auto"/>
        <w:ind w:left="112" w:right="3590"/>
      </w:pPr>
      <w:r w:rsidRPr="3045E523" w:rsidR="1464F5C7">
        <w:rPr>
          <w:rFonts w:ascii="Arial" w:hAnsi="Arial" w:eastAsia="Arial" w:cs="Arial"/>
          <w:noProof w:val="0"/>
          <w:sz w:val="18"/>
          <w:szCs w:val="18"/>
          <w:lang w:val="en-US"/>
        </w:rPr>
        <w:t>Edited by: Dr Gregory Klar, Anaesthesia Consultant and Assistant Professor, Queen’s University, Kingston Health Sciences Centre, Canada</w:t>
      </w:r>
    </w:p>
    <w:p w:rsidR="1464F5C7" w:rsidP="3045E523" w:rsidRDefault="1464F5C7" w14:paraId="1BABD689" w14:textId="003A3ACA">
      <w:pPr>
        <w:spacing w:before="13" w:beforeAutospacing="off"/>
        <w:ind w:left="-20" w:right="-20"/>
      </w:pPr>
      <w:r w:rsidRPr="3045E523" w:rsidR="1464F5C7">
        <w:rPr>
          <w:rFonts w:ascii="Arial" w:hAnsi="Arial" w:eastAsia="Arial" w:cs="Arial"/>
          <w:noProof w:val="0"/>
          <w:sz w:val="18"/>
          <w:szCs w:val="18"/>
          <w:lang w:val="en-US"/>
        </w:rPr>
        <w:t xml:space="preserve"> </w:t>
      </w:r>
    </w:p>
    <w:p w:rsidR="1464F5C7" w:rsidP="3045E523" w:rsidRDefault="1464F5C7" w14:paraId="407B6108" w14:textId="5C3DB995">
      <w:pPr>
        <w:ind w:left="112" w:right="-20"/>
      </w:pPr>
      <w:r w:rsidRPr="3045E523" w:rsidR="1464F5C7">
        <w:rPr>
          <w:rFonts w:ascii="Arial" w:hAnsi="Arial" w:eastAsia="Arial" w:cs="Arial"/>
          <w:noProof w:val="0"/>
          <w:sz w:val="18"/>
          <w:szCs w:val="18"/>
          <w:vertAlign w:val="superscript"/>
          <w:lang w:val="en-US"/>
        </w:rPr>
        <w:t>†</w:t>
      </w:r>
      <w:r w:rsidRPr="3045E523" w:rsidR="1464F5C7">
        <w:rPr>
          <w:rFonts w:ascii="Arial" w:hAnsi="Arial" w:eastAsia="Arial" w:cs="Arial"/>
          <w:noProof w:val="0"/>
          <w:sz w:val="18"/>
          <w:szCs w:val="18"/>
          <w:lang w:val="en-US"/>
        </w:rPr>
        <w:t xml:space="preserve">Corresponding author email: </w:t>
      </w:r>
      <w:hyperlink r:id="Rbe3a24f1a58d45a6">
        <w:r w:rsidRPr="3045E523" w:rsidR="1464F5C7">
          <w:rPr>
            <w:rStyle w:val="Hyperlink"/>
            <w:rFonts w:ascii="Arial" w:hAnsi="Arial" w:eastAsia="Arial" w:cs="Arial"/>
            <w:strike w:val="0"/>
            <w:dstrike w:val="0"/>
            <w:noProof w:val="0"/>
            <w:color w:val="0000FF"/>
            <w:sz w:val="18"/>
            <w:szCs w:val="18"/>
            <w:u w:val="single"/>
            <w:lang w:val="en-US"/>
          </w:rPr>
          <w:t>dawson.lafleur@kingstonhsc.ca</w:t>
        </w:r>
      </w:hyperlink>
    </w:p>
    <w:p w:rsidR="3045E523" w:rsidP="3045E523" w:rsidRDefault="3045E523" w14:paraId="1F33A479" w14:textId="1B334FDC">
      <w:pPr>
        <w:pStyle w:val="Normal"/>
      </w:pPr>
    </w:p>
    <w:p w:rsidR="292C8324" w:rsidP="3045E523" w:rsidRDefault="292C8324" w14:paraId="11611078" w14:textId="74A62F0C">
      <w:pPr>
        <w:pStyle w:val="Normal"/>
      </w:pPr>
      <w:r w:rsidR="292C8324">
        <w:rPr/>
        <w:t>PONTOS CHAVE</w:t>
      </w:r>
    </w:p>
    <w:p w:rsidR="292C8324" w:rsidP="3045E523" w:rsidRDefault="292C8324" w14:paraId="365413D4" w14:textId="09CC707E">
      <w:pPr>
        <w:pStyle w:val="Normal"/>
      </w:pPr>
      <w:r w:rsidR="292C8324">
        <w:rPr/>
        <w:t>- A intubação traqueal com o paciente adormecido em pacientes críticos está associada a uma pequena, mas significativa, mortalidade. Parada cardíaca peri-intubação ocorre em ~3% dos pacientes, dos quais 30% a 45% não conseguem ser reanimados.</w:t>
      </w:r>
    </w:p>
    <w:p w:rsidR="292C8324" w:rsidP="3045E523" w:rsidRDefault="292C8324" w14:paraId="07F2BF76" w14:textId="1B5C225F">
      <w:pPr>
        <w:pStyle w:val="Normal"/>
      </w:pPr>
      <w:r w:rsidR="292C8324">
        <w:rPr/>
        <w:t>- A intubação acordada oferece benefícios teóricos fisiológicos e de segurança sobre as abordagens com o paciente adormecido, incluindo evitar agentes de indução farmacológica e mudanças abruptas na pressão intratorácica, enquanto mantém o impulso respiratório.</w:t>
      </w:r>
    </w:p>
    <w:p w:rsidR="292C8324" w:rsidP="3045E523" w:rsidRDefault="292C8324" w14:paraId="223A60BD" w14:textId="4ABCEE43">
      <w:pPr>
        <w:pStyle w:val="Normal"/>
      </w:pPr>
      <w:r w:rsidR="292C8324">
        <w:rPr/>
        <w:t>- Pacientes hipoxêmicos estão em risco aumentado de complicações relacionadas à intubação. Preoxigenação ótima, oxigenação apneica e intubação acordada são estratégias importantes de otimização.</w:t>
      </w:r>
    </w:p>
    <w:p w:rsidR="292C8324" w:rsidP="3045E523" w:rsidRDefault="292C8324" w14:paraId="428FD9BA" w14:textId="4549A276">
      <w:pPr>
        <w:pStyle w:val="Normal"/>
      </w:pPr>
      <w:r w:rsidR="292C8324">
        <w:rPr/>
        <w:t>- Pacientes hipotensos estão em risco de colapso hemodinâmico peri-intubação. Estratégias de otimização incluem reanimação fisiológica com fluidos, seleção cuidadosa de agentes farmacológicos e vasopressores e inotrópicos prontamente disponíveis.</w:t>
      </w:r>
    </w:p>
    <w:p w:rsidR="292C8324" w:rsidP="3045E523" w:rsidRDefault="292C8324" w14:paraId="40219DC5" w14:textId="19B7E35A">
      <w:pPr>
        <w:pStyle w:val="Normal"/>
      </w:pPr>
      <w:r w:rsidR="292C8324">
        <w:rPr/>
        <w:t>- Acidose metabólica pode resultar em intolerância à apneia e colapso hemodinâmico peri-intubação.</w:t>
      </w:r>
    </w:p>
    <w:p w:rsidR="292C8324" w:rsidP="3045E523" w:rsidRDefault="292C8324" w14:paraId="5FECC766" w14:textId="55E330A5">
      <w:pPr>
        <w:pStyle w:val="Normal"/>
      </w:pPr>
      <w:r w:rsidR="292C8324">
        <w:rPr/>
        <w:t xml:space="preserve">- </w:t>
      </w:r>
      <w:r w:rsidR="292C8324">
        <w:rPr/>
        <w:t>Muitos</w:t>
      </w:r>
      <w:r w:rsidR="292C8324">
        <w:rPr/>
        <w:t xml:space="preserve"> </w:t>
      </w:r>
      <w:r w:rsidR="292C8324">
        <w:rPr/>
        <w:t>outros</w:t>
      </w:r>
      <w:r w:rsidR="292C8324">
        <w:rPr/>
        <w:t xml:space="preserve"> </w:t>
      </w:r>
      <w:r w:rsidR="292C8324">
        <w:rPr/>
        <w:t>processos</w:t>
      </w:r>
      <w:r w:rsidR="292C8324">
        <w:rPr/>
        <w:t xml:space="preserve"> </w:t>
      </w:r>
      <w:r w:rsidR="292C8324">
        <w:rPr/>
        <w:t>patofisiológicos</w:t>
      </w:r>
      <w:r w:rsidR="292C8324">
        <w:rPr/>
        <w:t xml:space="preserve"> </w:t>
      </w:r>
      <w:r w:rsidR="292C8324">
        <w:rPr/>
        <w:t>resultam</w:t>
      </w:r>
      <w:r w:rsidR="292C8324">
        <w:rPr/>
        <w:t xml:space="preserve"> em </w:t>
      </w:r>
      <w:r w:rsidR="292C8324">
        <w:rPr/>
        <w:t>uma</w:t>
      </w:r>
      <w:r w:rsidR="292C8324">
        <w:rPr/>
        <w:t xml:space="preserve"> </w:t>
      </w:r>
      <w:r w:rsidR="292C8324">
        <w:rPr/>
        <w:t>via</w:t>
      </w:r>
      <w:r w:rsidR="292C8324">
        <w:rPr/>
        <w:t xml:space="preserve"> aérea </w:t>
      </w:r>
      <w:r w:rsidR="292C8324">
        <w:rPr/>
        <w:t>fisiologicamente</w:t>
      </w:r>
      <w:r w:rsidR="292C8324">
        <w:rPr/>
        <w:t xml:space="preserve"> difícil. </w:t>
      </w:r>
      <w:r w:rsidR="292C8324">
        <w:rPr/>
        <w:t>Intubação</w:t>
      </w:r>
      <w:r w:rsidR="292C8324">
        <w:rPr/>
        <w:t xml:space="preserve"> acordada, </w:t>
      </w:r>
      <w:r w:rsidR="292C8324">
        <w:rPr/>
        <w:t>com</w:t>
      </w:r>
      <w:r w:rsidR="292C8324">
        <w:rPr/>
        <w:t xml:space="preserve"> </w:t>
      </w:r>
      <w:r w:rsidR="292C8324">
        <w:rPr/>
        <w:t>respiração</w:t>
      </w:r>
      <w:r w:rsidR="292C8324">
        <w:rPr/>
        <w:t xml:space="preserve"> </w:t>
      </w:r>
      <w:r w:rsidR="292C8324">
        <w:rPr/>
        <w:t>espontânea</w:t>
      </w:r>
      <w:r w:rsidR="292C8324">
        <w:rPr/>
        <w:t xml:space="preserve">, </w:t>
      </w:r>
      <w:r w:rsidR="292C8324">
        <w:rPr/>
        <w:t>deve</w:t>
      </w:r>
      <w:r w:rsidR="292C8324">
        <w:rPr/>
        <w:t xml:space="preserve"> ser considerada </w:t>
      </w:r>
      <w:r w:rsidR="292C8324">
        <w:rPr/>
        <w:t>na</w:t>
      </w:r>
      <w:r w:rsidR="292C8324">
        <w:rPr/>
        <w:t xml:space="preserve"> </w:t>
      </w:r>
      <w:r w:rsidR="292C8324">
        <w:rPr/>
        <w:t>via</w:t>
      </w:r>
      <w:r w:rsidR="292C8324">
        <w:rPr/>
        <w:t xml:space="preserve"> aérea </w:t>
      </w:r>
      <w:r w:rsidR="292C8324">
        <w:rPr/>
        <w:t>fisiologicamente</w:t>
      </w:r>
      <w:r w:rsidR="292C8324">
        <w:rPr/>
        <w:t xml:space="preserve"> difícil.</w:t>
      </w:r>
    </w:p>
    <w:p w:rsidR="3E656529" w:rsidP="3045E523" w:rsidRDefault="3E656529" w14:paraId="596741F8" w14:textId="52D0E4AF">
      <w:pPr>
        <w:pStyle w:val="Normal"/>
      </w:pPr>
      <w:r w:rsidR="3E656529">
        <w:rPr/>
        <w:t>Introdução</w:t>
      </w:r>
    </w:p>
    <w:p w:rsidR="3E656529" w:rsidP="3045E523" w:rsidRDefault="3E656529" w14:paraId="66CE7CED" w14:textId="66D7BB31">
      <w:pPr>
        <w:pStyle w:val="Normal"/>
      </w:pPr>
      <w:r w:rsidR="3E656529">
        <w:rPr/>
        <w:t>O termo "</w:t>
      </w:r>
      <w:r w:rsidR="3E656529">
        <w:rPr/>
        <w:t>via</w:t>
      </w:r>
      <w:r w:rsidR="3E656529">
        <w:rPr/>
        <w:t xml:space="preserve"> aérea difícil" tradicionalmente </w:t>
      </w:r>
      <w:r w:rsidR="3E656529">
        <w:rPr/>
        <w:t>tem</w:t>
      </w:r>
      <w:r w:rsidR="3E656529">
        <w:rPr/>
        <w:t xml:space="preserve"> sido usado em </w:t>
      </w:r>
      <w:r w:rsidR="3E656529">
        <w:rPr/>
        <w:t>referência</w:t>
      </w:r>
      <w:r w:rsidR="3E656529">
        <w:rPr/>
        <w:t xml:space="preserve"> a características </w:t>
      </w:r>
      <w:r w:rsidR="3E656529">
        <w:rPr/>
        <w:t>anatômicas</w:t>
      </w:r>
      <w:r w:rsidR="3E656529">
        <w:rPr/>
        <w:t xml:space="preserve"> da </w:t>
      </w:r>
      <w:r w:rsidR="3E656529">
        <w:rPr/>
        <w:t>via</w:t>
      </w:r>
      <w:r w:rsidR="3E656529">
        <w:rPr/>
        <w:t xml:space="preserve"> aérea que </w:t>
      </w:r>
      <w:r w:rsidR="3E656529">
        <w:rPr/>
        <w:t>tornam</w:t>
      </w:r>
      <w:r w:rsidR="3E656529">
        <w:rPr/>
        <w:t xml:space="preserve"> a </w:t>
      </w:r>
      <w:r w:rsidR="3E656529">
        <w:rPr/>
        <w:t>colocação</w:t>
      </w:r>
      <w:r w:rsidR="3E656529">
        <w:rPr/>
        <w:t xml:space="preserve"> </w:t>
      </w:r>
      <w:r w:rsidR="3E656529">
        <w:rPr/>
        <w:t>bem</w:t>
      </w:r>
      <w:r w:rsidR="3E656529">
        <w:rPr/>
        <w:t xml:space="preserve">-sucedida de </w:t>
      </w:r>
      <w:r w:rsidR="3E656529">
        <w:rPr/>
        <w:t>um</w:t>
      </w:r>
      <w:r w:rsidR="3E656529">
        <w:rPr/>
        <w:t xml:space="preserve"> tubo endotraqueal difícil para </w:t>
      </w:r>
      <w:r w:rsidR="3E656529">
        <w:rPr/>
        <w:t>profissionais</w:t>
      </w:r>
      <w:r w:rsidR="3E656529">
        <w:rPr/>
        <w:t xml:space="preserve"> </w:t>
      </w:r>
      <w:r w:rsidR="3E656529">
        <w:rPr/>
        <w:t>experientes</w:t>
      </w:r>
      <w:r w:rsidR="3E656529">
        <w:rPr/>
        <w:t xml:space="preserve">. </w:t>
      </w:r>
      <w:r w:rsidR="3E656529">
        <w:rPr/>
        <w:t>Embora</w:t>
      </w:r>
      <w:r w:rsidR="3E656529">
        <w:rPr/>
        <w:t xml:space="preserve"> a </w:t>
      </w:r>
      <w:r w:rsidR="3E656529">
        <w:rPr/>
        <w:t>anatomia</w:t>
      </w:r>
      <w:r w:rsidR="3E656529">
        <w:rPr/>
        <w:t xml:space="preserve"> </w:t>
      </w:r>
      <w:r w:rsidR="3E656529">
        <w:rPr/>
        <w:t>certamente</w:t>
      </w:r>
      <w:r w:rsidR="3E656529">
        <w:rPr/>
        <w:t xml:space="preserve"> </w:t>
      </w:r>
      <w:r w:rsidR="3E656529">
        <w:rPr/>
        <w:t>desempenhe</w:t>
      </w:r>
      <w:r w:rsidR="3E656529">
        <w:rPr/>
        <w:t xml:space="preserve"> </w:t>
      </w:r>
      <w:r w:rsidR="3E656529">
        <w:rPr/>
        <w:t>um</w:t>
      </w:r>
      <w:r w:rsidR="3E656529">
        <w:rPr/>
        <w:t xml:space="preserve"> papel no manejo da </w:t>
      </w:r>
      <w:r w:rsidR="3E656529">
        <w:rPr/>
        <w:t>via</w:t>
      </w:r>
      <w:r w:rsidR="3E656529">
        <w:rPr/>
        <w:t xml:space="preserve"> aérea difícil, fatores </w:t>
      </w:r>
      <w:r w:rsidR="3E656529">
        <w:rPr/>
        <w:t>contextuais</w:t>
      </w:r>
      <w:r w:rsidR="3E656529">
        <w:rPr/>
        <w:t xml:space="preserve"> e fisiológicos, como </w:t>
      </w:r>
      <w:r w:rsidR="3E656529">
        <w:rPr/>
        <w:t>pressão</w:t>
      </w:r>
      <w:r w:rsidR="3E656529">
        <w:rPr/>
        <w:t xml:space="preserve"> do tempo, ambiente e estado </w:t>
      </w:r>
      <w:r w:rsidR="3E656529">
        <w:rPr/>
        <w:t>hemodinâmico</w:t>
      </w:r>
      <w:r w:rsidR="3E656529">
        <w:rPr/>
        <w:t xml:space="preserve"> do paciente e/</w:t>
      </w:r>
      <w:r w:rsidR="3E656529">
        <w:rPr/>
        <w:t>ou</w:t>
      </w:r>
      <w:r w:rsidR="3E656529">
        <w:rPr/>
        <w:t xml:space="preserve"> reserva </w:t>
      </w:r>
      <w:r w:rsidR="3E656529">
        <w:rPr/>
        <w:t>respiratória</w:t>
      </w:r>
      <w:r w:rsidR="3E656529">
        <w:rPr/>
        <w:t xml:space="preserve">, </w:t>
      </w:r>
      <w:r w:rsidR="3E656529">
        <w:rPr/>
        <w:t>contribuem</w:t>
      </w:r>
      <w:r w:rsidR="3E656529">
        <w:rPr/>
        <w:t xml:space="preserve"> para a </w:t>
      </w:r>
      <w:r w:rsidR="3E656529">
        <w:rPr/>
        <w:t>complexidade</w:t>
      </w:r>
      <w:r w:rsidR="3E656529">
        <w:rPr/>
        <w:t xml:space="preserve"> de garantir </w:t>
      </w:r>
      <w:r w:rsidR="3E656529">
        <w:rPr/>
        <w:t>com</w:t>
      </w:r>
      <w:r w:rsidR="3E656529">
        <w:rPr/>
        <w:t xml:space="preserve"> </w:t>
      </w:r>
      <w:r w:rsidR="3E656529">
        <w:rPr/>
        <w:t>segurança</w:t>
      </w:r>
      <w:r w:rsidR="3E656529">
        <w:rPr/>
        <w:t xml:space="preserve"> </w:t>
      </w:r>
      <w:r w:rsidR="3E656529">
        <w:rPr/>
        <w:t>uma</w:t>
      </w:r>
      <w:r w:rsidR="3E656529">
        <w:rPr/>
        <w:t xml:space="preserve"> </w:t>
      </w:r>
      <w:r w:rsidR="3E656529">
        <w:rPr/>
        <w:t>via</w:t>
      </w:r>
      <w:r w:rsidR="3E656529">
        <w:rPr/>
        <w:t xml:space="preserve"> aérea e </w:t>
      </w:r>
      <w:r w:rsidR="3E656529">
        <w:rPr/>
        <w:t>otimizar</w:t>
      </w:r>
      <w:r w:rsidR="3E656529">
        <w:rPr/>
        <w:t xml:space="preserve"> a troca </w:t>
      </w:r>
      <w:r w:rsidR="3E656529">
        <w:rPr/>
        <w:t>gasosa</w:t>
      </w:r>
      <w:r w:rsidR="3E656529">
        <w:rPr/>
        <w:t xml:space="preserve">; os objetivos </w:t>
      </w:r>
      <w:r w:rsidR="3E656529">
        <w:rPr/>
        <w:t>finais</w:t>
      </w:r>
      <w:r w:rsidR="3E656529">
        <w:rPr/>
        <w:t xml:space="preserve"> da </w:t>
      </w:r>
      <w:r w:rsidR="3E656529">
        <w:rPr/>
        <w:t>intubação</w:t>
      </w:r>
      <w:r w:rsidR="3E656529">
        <w:rPr/>
        <w:t xml:space="preserve"> traqueal (TI). </w:t>
      </w:r>
      <w:r w:rsidR="3E656529">
        <w:rPr/>
        <w:t>Esses</w:t>
      </w:r>
      <w:r w:rsidR="3E656529">
        <w:rPr/>
        <w:t xml:space="preserve"> fatores </w:t>
      </w:r>
      <w:r w:rsidR="3E656529">
        <w:rPr/>
        <w:t>contextuais</w:t>
      </w:r>
      <w:r w:rsidR="3E656529">
        <w:rPr/>
        <w:t xml:space="preserve"> </w:t>
      </w:r>
      <w:r w:rsidR="3E656529">
        <w:rPr/>
        <w:t>são</w:t>
      </w:r>
      <w:r w:rsidR="3E656529">
        <w:rPr/>
        <w:t xml:space="preserve"> </w:t>
      </w:r>
      <w:r w:rsidR="3E656529">
        <w:rPr/>
        <w:t>mais</w:t>
      </w:r>
      <w:r w:rsidR="3E656529">
        <w:rPr/>
        <w:t xml:space="preserve"> exacerbados em pacientes gravemente </w:t>
      </w:r>
      <w:r w:rsidR="3E656529">
        <w:rPr/>
        <w:t>doentes</w:t>
      </w:r>
      <w:r w:rsidR="3E656529">
        <w:rPr/>
        <w:t xml:space="preserve">, que </w:t>
      </w:r>
      <w:r w:rsidR="3E656529">
        <w:rPr/>
        <w:t>estão</w:t>
      </w:r>
      <w:r w:rsidR="3E656529">
        <w:rPr/>
        <w:t xml:space="preserve"> em alto risco de </w:t>
      </w:r>
      <w:r w:rsidR="3E656529">
        <w:rPr/>
        <w:t>complicações</w:t>
      </w:r>
      <w:r w:rsidR="3E656529">
        <w:rPr/>
        <w:t xml:space="preserve"> peri-</w:t>
      </w:r>
      <w:r w:rsidR="3E656529">
        <w:rPr/>
        <w:t>intubação</w:t>
      </w:r>
      <w:r w:rsidR="3E656529">
        <w:rPr/>
        <w:t xml:space="preserve">, </w:t>
      </w:r>
      <w:r w:rsidR="3E656529">
        <w:rPr/>
        <w:t>incluindo</w:t>
      </w:r>
      <w:r w:rsidR="3E656529">
        <w:rPr/>
        <w:t xml:space="preserve"> hipoxemia, </w:t>
      </w:r>
      <w:r w:rsidR="3E656529">
        <w:rPr/>
        <w:t>instabilidade</w:t>
      </w:r>
      <w:r w:rsidR="3E656529">
        <w:rPr/>
        <w:t xml:space="preserve"> </w:t>
      </w:r>
      <w:r w:rsidR="3E656529">
        <w:rPr/>
        <w:t>hemodinâmica</w:t>
      </w:r>
      <w:r w:rsidR="3E656529">
        <w:rPr/>
        <w:t xml:space="preserve"> e parada cardíaca. A parada cardíaca </w:t>
      </w:r>
      <w:r w:rsidR="3E656529">
        <w:rPr/>
        <w:t>ocorre</w:t>
      </w:r>
      <w:r w:rsidR="3E656529">
        <w:rPr/>
        <w:t xml:space="preserve"> em até 3,1% dos pacientes de TI, dos </w:t>
      </w:r>
      <w:r w:rsidR="3E656529">
        <w:rPr/>
        <w:t>quais</w:t>
      </w:r>
      <w:r w:rsidR="3E656529">
        <w:rPr/>
        <w:t xml:space="preserve"> até 47,3% </w:t>
      </w:r>
      <w:r w:rsidR="3E656529">
        <w:rPr/>
        <w:t>não</w:t>
      </w:r>
      <w:r w:rsidR="3E656529">
        <w:rPr/>
        <w:t xml:space="preserve"> </w:t>
      </w:r>
      <w:r w:rsidR="3E656529">
        <w:rPr/>
        <w:t>alcançam</w:t>
      </w:r>
      <w:r w:rsidR="3E656529">
        <w:rPr/>
        <w:t xml:space="preserve"> o retorno da </w:t>
      </w:r>
      <w:r w:rsidR="3E656529">
        <w:rPr/>
        <w:t>circulação</w:t>
      </w:r>
      <w:r w:rsidR="3E656529">
        <w:rPr/>
        <w:t xml:space="preserve"> </w:t>
      </w:r>
      <w:r w:rsidR="3E656529">
        <w:rPr/>
        <w:t>espontânea</w:t>
      </w:r>
      <w:r w:rsidR="3E656529">
        <w:rPr/>
        <w:t xml:space="preserve">. Pacientes </w:t>
      </w:r>
      <w:r w:rsidR="3E656529">
        <w:rPr/>
        <w:t>com</w:t>
      </w:r>
      <w:r w:rsidR="3E656529">
        <w:rPr/>
        <w:t xml:space="preserve"> alto risco de hipoxemia peri-TI e/</w:t>
      </w:r>
      <w:r w:rsidR="3E656529">
        <w:rPr/>
        <w:t>ou</w:t>
      </w:r>
      <w:r w:rsidR="3E656529">
        <w:rPr/>
        <w:t xml:space="preserve"> colapso </w:t>
      </w:r>
      <w:r w:rsidR="3E656529">
        <w:rPr/>
        <w:t>hemodinâmico</w:t>
      </w:r>
      <w:r w:rsidR="3E656529">
        <w:rPr/>
        <w:t xml:space="preserve"> </w:t>
      </w:r>
      <w:r w:rsidR="3E656529">
        <w:rPr/>
        <w:t>podem</w:t>
      </w:r>
      <w:r w:rsidR="3E656529">
        <w:rPr/>
        <w:t xml:space="preserve"> ser considerados como </w:t>
      </w:r>
      <w:r w:rsidR="3E656529">
        <w:rPr/>
        <w:t>tendo</w:t>
      </w:r>
      <w:r w:rsidR="3E656529">
        <w:rPr/>
        <w:t xml:space="preserve"> </w:t>
      </w:r>
      <w:r w:rsidR="3E656529">
        <w:rPr/>
        <w:t>uma</w:t>
      </w:r>
      <w:r w:rsidR="3E656529">
        <w:rPr/>
        <w:t xml:space="preserve"> "</w:t>
      </w:r>
      <w:r w:rsidR="3E656529">
        <w:rPr/>
        <w:t>via</w:t>
      </w:r>
      <w:r w:rsidR="3E656529">
        <w:rPr/>
        <w:t xml:space="preserve"> aérea </w:t>
      </w:r>
      <w:r w:rsidR="3E656529">
        <w:rPr/>
        <w:t>fisiologicamente</w:t>
      </w:r>
      <w:r w:rsidR="3E656529">
        <w:rPr/>
        <w:t xml:space="preserve"> difícil", onde, </w:t>
      </w:r>
      <w:r w:rsidR="3E656529">
        <w:rPr/>
        <w:t>apesar</w:t>
      </w:r>
      <w:r w:rsidR="3E656529">
        <w:rPr/>
        <w:t xml:space="preserve"> da </w:t>
      </w:r>
      <w:r w:rsidR="3E656529">
        <w:rPr/>
        <w:t>anatomia</w:t>
      </w:r>
      <w:r w:rsidR="3E656529">
        <w:rPr/>
        <w:t xml:space="preserve"> da </w:t>
      </w:r>
      <w:r w:rsidR="3E656529">
        <w:rPr/>
        <w:t>via</w:t>
      </w:r>
      <w:r w:rsidR="3E656529">
        <w:rPr/>
        <w:t xml:space="preserve"> aérea ser tranquilizadora (</w:t>
      </w:r>
      <w:r w:rsidR="3E656529">
        <w:rPr/>
        <w:t>ou</w:t>
      </w:r>
      <w:r w:rsidR="3E656529">
        <w:rPr/>
        <w:t xml:space="preserve"> </w:t>
      </w:r>
      <w:r w:rsidR="3E656529">
        <w:rPr/>
        <w:t>não</w:t>
      </w:r>
      <w:r w:rsidR="3E656529">
        <w:rPr/>
        <w:t xml:space="preserve">), garantir </w:t>
      </w:r>
      <w:r w:rsidR="3E656529">
        <w:rPr/>
        <w:t>com</w:t>
      </w:r>
      <w:r w:rsidR="3E656529">
        <w:rPr/>
        <w:t xml:space="preserve"> </w:t>
      </w:r>
      <w:r w:rsidR="3E656529">
        <w:rPr/>
        <w:t>segurança</w:t>
      </w:r>
      <w:r w:rsidR="3E656529">
        <w:rPr/>
        <w:t xml:space="preserve"> a </w:t>
      </w:r>
      <w:r w:rsidR="3E656529">
        <w:rPr/>
        <w:t>via</w:t>
      </w:r>
      <w:r w:rsidR="3E656529">
        <w:rPr/>
        <w:t xml:space="preserve"> aérea permanece difícil </w:t>
      </w:r>
      <w:r w:rsidR="3E656529">
        <w:rPr/>
        <w:t>devido</w:t>
      </w:r>
      <w:r w:rsidR="3E656529">
        <w:rPr/>
        <w:t xml:space="preserve"> a </w:t>
      </w:r>
      <w:r w:rsidR="3E656529">
        <w:rPr/>
        <w:t>desarranjos</w:t>
      </w:r>
      <w:r w:rsidR="3E656529">
        <w:rPr/>
        <w:t xml:space="preserve"> fisiológicos em curso. </w:t>
      </w:r>
      <w:r w:rsidR="3E656529">
        <w:rPr/>
        <w:t>Neste</w:t>
      </w:r>
      <w:r w:rsidR="3E656529">
        <w:rPr/>
        <w:t xml:space="preserve"> tutorial, discutiremos </w:t>
      </w:r>
      <w:r w:rsidR="3E656529">
        <w:rPr/>
        <w:t>condições</w:t>
      </w:r>
      <w:r w:rsidR="3E656529">
        <w:rPr/>
        <w:t xml:space="preserve"> específicas e </w:t>
      </w:r>
      <w:r w:rsidR="3E656529">
        <w:rPr/>
        <w:t>exemplos</w:t>
      </w:r>
      <w:r w:rsidR="3E656529">
        <w:rPr/>
        <w:t xml:space="preserve"> de </w:t>
      </w:r>
      <w:r w:rsidR="3E656529">
        <w:rPr/>
        <w:t>vias</w:t>
      </w:r>
      <w:r w:rsidR="3E656529">
        <w:rPr/>
        <w:t xml:space="preserve"> aéreas </w:t>
      </w:r>
      <w:r w:rsidR="3E656529">
        <w:rPr/>
        <w:t>fisiologicamente</w:t>
      </w:r>
      <w:r w:rsidR="3E656529">
        <w:rPr/>
        <w:t xml:space="preserve"> </w:t>
      </w:r>
      <w:r w:rsidR="3E656529">
        <w:rPr/>
        <w:t>difíceis</w:t>
      </w:r>
      <w:r w:rsidR="3E656529">
        <w:rPr/>
        <w:t xml:space="preserve"> — hipoxemia, </w:t>
      </w:r>
      <w:r w:rsidR="3E656529">
        <w:rPr/>
        <w:t>hipotensão</w:t>
      </w:r>
      <w:r w:rsidR="3E656529">
        <w:rPr/>
        <w:t xml:space="preserve">, </w:t>
      </w:r>
      <w:r w:rsidR="3E656529">
        <w:rPr/>
        <w:t>acidose</w:t>
      </w:r>
      <w:r w:rsidR="3E656529">
        <w:rPr/>
        <w:t xml:space="preserve"> metabólica grave e </w:t>
      </w:r>
      <w:r w:rsidR="3E656529">
        <w:rPr/>
        <w:t>mais</w:t>
      </w:r>
      <w:r w:rsidR="3E656529">
        <w:rPr/>
        <w:t xml:space="preserve"> — juntamente </w:t>
      </w:r>
      <w:r w:rsidR="3E656529">
        <w:rPr/>
        <w:t>com</w:t>
      </w:r>
      <w:r w:rsidR="3E656529">
        <w:rPr/>
        <w:t xml:space="preserve"> </w:t>
      </w:r>
      <w:r w:rsidR="3E656529">
        <w:rPr/>
        <w:t>estratégias</w:t>
      </w:r>
      <w:r w:rsidR="3E656529">
        <w:rPr/>
        <w:t xml:space="preserve"> para mitigar o risco de </w:t>
      </w:r>
      <w:r w:rsidR="3E656529">
        <w:rPr/>
        <w:t>complicações</w:t>
      </w:r>
      <w:r w:rsidR="3E656529">
        <w:rPr/>
        <w:t xml:space="preserve"> </w:t>
      </w:r>
      <w:r w:rsidR="3E656529">
        <w:rPr/>
        <w:t>associadas</w:t>
      </w:r>
      <w:r w:rsidR="3E656529">
        <w:rPr/>
        <w:t xml:space="preserve"> </w:t>
      </w:r>
      <w:r w:rsidR="3E656529">
        <w:rPr/>
        <w:t>ao</w:t>
      </w:r>
      <w:r w:rsidR="3E656529">
        <w:rPr/>
        <w:t xml:space="preserve"> manejo da </w:t>
      </w:r>
      <w:r w:rsidR="3E656529">
        <w:rPr/>
        <w:t>via</w:t>
      </w:r>
      <w:r w:rsidR="3E656529">
        <w:rPr/>
        <w:t xml:space="preserve"> aérea.</w:t>
      </w:r>
    </w:p>
    <w:p w:rsidR="3045E523" w:rsidP="3045E523" w:rsidRDefault="3045E523" w14:paraId="40363AF7" w14:textId="2A730951">
      <w:pPr>
        <w:pStyle w:val="Normal"/>
      </w:pPr>
    </w:p>
    <w:p w:rsidR="35489928" w:rsidP="3045E523" w:rsidRDefault="35489928" w14:paraId="132927E9" w14:textId="0FC7411D">
      <w:pPr>
        <w:pStyle w:val="Normal"/>
      </w:pPr>
      <w:r w:rsidR="35489928">
        <w:rPr/>
        <w:t>HIPOXEMIA</w:t>
      </w:r>
    </w:p>
    <w:p w:rsidR="35489928" w:rsidP="3045E523" w:rsidRDefault="35489928" w14:paraId="7C9CB68D" w14:textId="43A6165F">
      <w:pPr>
        <w:pStyle w:val="Normal"/>
      </w:pPr>
      <w:r w:rsidR="35489928">
        <w:rPr/>
        <w:t>A insuficiência respiratória hipoxêmica é uma indicação comumente encontrada para TI. Este estado está associado a desequilíbrio ventilação-perfusão, transferência de gás prejudicada e difusão, e/ou shunts fisiológicos ou anatômicos, pelos quais o sangue não participa adequadamente na troca de gás alveolar antes de entrar na circulação sistêmica. Condições comuns em pacientes críticos incluem pneumonia, atelectasia, síndrome do desconforto respiratório agudo, edema pulmonar e obstrução por muco. Comorbidades como obesidade e nível de consciência prejudicado são comumente encontradas em pacientes críticos e estão associadas à redução da capacidade residual funcional (CRF), reduzindo ainda mais a reserva respiratória. Esses fatores são agudamente agravados com a indução da anestesia para TI, resultando em um risco aumentado de complicações potencialmente ameaçadoras à vida relacionadas a TI, especialmente quando são necessárias ≥ 2 tentativas para assegurar a via aérea. A Tabela 1 resume as recomendações peri-TI para pacientes hipoxêmicos.</w:t>
      </w:r>
    </w:p>
    <w:p w:rsidR="35489928" w:rsidP="3045E523" w:rsidRDefault="35489928" w14:paraId="690E7445" w14:textId="6C140420">
      <w:pPr>
        <w:pStyle w:val="Normal"/>
      </w:pPr>
      <w:r w:rsidR="35489928">
        <w:rPr/>
        <w:t xml:space="preserve"> </w:t>
      </w:r>
    </w:p>
    <w:tbl>
      <w:tblPr>
        <w:tblStyle w:val="TableGrid"/>
        <w:tblW w:w="0" w:type="auto"/>
        <w:tblLayout w:type="fixed"/>
        <w:tblLook w:val="06A0" w:firstRow="1" w:lastRow="0" w:firstColumn="1" w:lastColumn="0" w:noHBand="1" w:noVBand="1"/>
      </w:tblPr>
      <w:tblGrid>
        <w:gridCol w:w="2580"/>
        <w:gridCol w:w="6435"/>
      </w:tblGrid>
      <w:tr w:rsidR="3045E523" w:rsidTr="3045E523" w14:paraId="1F17B63C">
        <w:trPr>
          <w:trHeight w:val="300"/>
        </w:trPr>
        <w:tc>
          <w:tcPr>
            <w:tcW w:w="2580" w:type="dxa"/>
            <w:shd w:val="clear" w:color="auto" w:fill="A8D08D" w:themeFill="accent6" w:themeFillTint="99"/>
            <w:tcMar/>
          </w:tcPr>
          <w:p w:rsidR="3045E523" w:rsidP="3045E523" w:rsidRDefault="3045E523" w14:paraId="1832D9BE" w14:textId="3592BD07">
            <w:pPr>
              <w:pStyle w:val="Normal"/>
            </w:pPr>
          </w:p>
        </w:tc>
        <w:tc>
          <w:tcPr>
            <w:tcW w:w="6435" w:type="dxa"/>
            <w:shd w:val="clear" w:color="auto" w:fill="A8D08D" w:themeFill="accent6" w:themeFillTint="99"/>
            <w:tcMar/>
          </w:tcPr>
          <w:p w:rsidR="35489928" w:rsidP="3045E523" w:rsidRDefault="35489928" w14:paraId="48F29290" w14:textId="3B560569">
            <w:pPr>
              <w:pStyle w:val="Normal"/>
            </w:pPr>
            <w:r w:rsidR="35489928">
              <w:rPr/>
              <w:t>Otimização da Hipoxemia</w:t>
            </w:r>
          </w:p>
        </w:tc>
      </w:tr>
      <w:tr w:rsidR="3045E523" w:rsidTr="3045E523" w14:paraId="1BD33B5B">
        <w:trPr>
          <w:trHeight w:val="300"/>
        </w:trPr>
        <w:tc>
          <w:tcPr>
            <w:tcW w:w="2580" w:type="dxa"/>
            <w:tcMar/>
          </w:tcPr>
          <w:p w:rsidR="158F15FA" w:rsidP="3045E523" w:rsidRDefault="158F15FA" w14:paraId="6444E4F9" w14:textId="49C91934">
            <w:pPr>
              <w:pStyle w:val="Normal"/>
            </w:pPr>
            <w:r w:rsidRPr="3045E523" w:rsidR="158F15FA">
              <w:rPr>
                <w:rFonts w:ascii="Calibri" w:hAnsi="Calibri" w:eastAsia="Calibri" w:cs="Calibri"/>
                <w:noProof w:val="0"/>
                <w:sz w:val="22"/>
                <w:szCs w:val="22"/>
                <w:lang w:val="es-ES"/>
              </w:rPr>
              <w:t>Preoxigenação</w:t>
            </w:r>
          </w:p>
        </w:tc>
        <w:tc>
          <w:tcPr>
            <w:tcW w:w="6435" w:type="dxa"/>
            <w:tcMar/>
          </w:tcPr>
          <w:p w:rsidR="158F15FA" w:rsidP="3045E523" w:rsidRDefault="158F15FA" w14:paraId="5656BEF4" w14:textId="3F249580">
            <w:pPr>
              <w:pStyle w:val="Normal"/>
            </w:pPr>
            <w:r w:rsidRPr="3045E523" w:rsidR="158F15FA">
              <w:rPr>
                <w:rFonts w:ascii="Calibri" w:hAnsi="Calibri" w:eastAsia="Calibri" w:cs="Calibri"/>
                <w:noProof w:val="0"/>
                <w:sz w:val="22"/>
                <w:szCs w:val="22"/>
                <w:lang w:val="es-ES"/>
              </w:rPr>
              <w:t>Cânula</w:t>
            </w:r>
            <w:r w:rsidRPr="3045E523" w:rsidR="158F15FA">
              <w:rPr>
                <w:rFonts w:ascii="Calibri" w:hAnsi="Calibri" w:eastAsia="Calibri" w:cs="Calibri"/>
                <w:noProof w:val="0"/>
                <w:sz w:val="22"/>
                <w:szCs w:val="22"/>
                <w:lang w:val="es-ES"/>
              </w:rPr>
              <w:t xml:space="preserve"> de </w:t>
            </w:r>
            <w:r w:rsidRPr="3045E523" w:rsidR="158F15FA">
              <w:rPr>
                <w:rFonts w:ascii="Calibri" w:hAnsi="Calibri" w:eastAsia="Calibri" w:cs="Calibri"/>
                <w:noProof w:val="0"/>
                <w:sz w:val="22"/>
                <w:szCs w:val="22"/>
                <w:lang w:val="es-ES"/>
              </w:rPr>
              <w:t>oxigênio</w:t>
            </w:r>
            <w:r w:rsidRPr="3045E523" w:rsidR="158F15FA">
              <w:rPr>
                <w:rFonts w:ascii="Calibri" w:hAnsi="Calibri" w:eastAsia="Calibri" w:cs="Calibri"/>
                <w:noProof w:val="0"/>
                <w:sz w:val="22"/>
                <w:szCs w:val="22"/>
                <w:lang w:val="es-ES"/>
              </w:rPr>
              <w:t xml:space="preserve"> nasal de alto </w:t>
            </w:r>
            <w:r w:rsidRPr="3045E523" w:rsidR="158F15FA">
              <w:rPr>
                <w:rFonts w:ascii="Calibri" w:hAnsi="Calibri" w:eastAsia="Calibri" w:cs="Calibri"/>
                <w:noProof w:val="0"/>
                <w:sz w:val="22"/>
                <w:szCs w:val="22"/>
                <w:lang w:val="es-ES"/>
              </w:rPr>
              <w:t>fluxo</w:t>
            </w:r>
          </w:p>
          <w:p w:rsidR="158F15FA" w:rsidP="3045E523" w:rsidRDefault="158F15FA" w14:paraId="7A8D1726" w14:textId="56FC385D">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Taxas de hipoxia peri-intubação semelhantes à ventilação positiva não invasiva</w:t>
            </w:r>
          </w:p>
          <w:p w:rsidR="158F15FA" w:rsidP="3045E523" w:rsidRDefault="158F15FA" w14:paraId="6B1CAF1F" w14:textId="7BD381FC">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Deve ser considerada para pacientes com PaO2/FiO2 de 300-200 Ventilação positiva não invasiva</w:t>
            </w:r>
          </w:p>
          <w:p w:rsidR="158F15FA" w:rsidP="3045E523" w:rsidRDefault="158F15FA" w14:paraId="718F498B" w14:textId="1ED67388">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Reduz a hipoxia peri-intubação em comparação com a máscara não reinalante e máscara de válvula de bolsa</w:t>
            </w:r>
          </w:p>
          <w:p w:rsidR="158F15FA" w:rsidP="3045E523" w:rsidRDefault="158F15FA" w14:paraId="376C6850" w14:textId="25766DCF">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Reduz o desequilíbrio ventilação-perfusão</w:t>
            </w:r>
          </w:p>
          <w:p w:rsidR="158F15FA" w:rsidP="3045E523" w:rsidRDefault="158F15FA" w14:paraId="70B09F9E" w14:textId="62635FC5">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Melhora o trabalho respiratório</w:t>
            </w:r>
          </w:p>
          <w:p w:rsidR="158F15FA" w:rsidP="3045E523" w:rsidRDefault="158F15FA" w14:paraId="36C221C2" w14:textId="55EBDED3">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Deve ser considerada para pacientes com PaO2/FiO2 de 200-100 Vasodilatadores pulmonares inalados (por exemplo, óxido nítrico) podem melhorar a oxigenação reduzindo o desequilíbrio ventilação-perfusão e têm um papel na otimização da preoxigenação.</w:t>
            </w:r>
          </w:p>
          <w:p w:rsidR="3045E523" w:rsidP="3045E523" w:rsidRDefault="3045E523" w14:paraId="15E3A109" w14:textId="280BD111">
            <w:pPr>
              <w:pStyle w:val="Normal"/>
              <w:rPr>
                <w:rFonts w:ascii="Calibri" w:hAnsi="Calibri" w:eastAsia="Calibri" w:cs="Calibri"/>
                <w:noProof w:val="0"/>
                <w:sz w:val="22"/>
                <w:szCs w:val="22"/>
                <w:lang w:val="es-ES"/>
              </w:rPr>
            </w:pPr>
          </w:p>
        </w:tc>
      </w:tr>
      <w:tr w:rsidR="3045E523" w:rsidTr="3045E523" w14:paraId="6F82260B">
        <w:trPr>
          <w:trHeight w:val="300"/>
        </w:trPr>
        <w:tc>
          <w:tcPr>
            <w:tcW w:w="2580" w:type="dxa"/>
            <w:tcMar/>
          </w:tcPr>
          <w:p w:rsidR="158F15FA" w:rsidP="3045E523" w:rsidRDefault="158F15FA" w14:paraId="2A971D0E" w14:textId="13737FDB">
            <w:pPr>
              <w:pStyle w:val="Normal"/>
            </w:pPr>
            <w:r w:rsidRPr="3045E523" w:rsidR="158F15FA">
              <w:rPr>
                <w:rFonts w:ascii="Calibri" w:hAnsi="Calibri" w:eastAsia="Calibri" w:cs="Calibri"/>
                <w:noProof w:val="0"/>
                <w:sz w:val="22"/>
                <w:szCs w:val="22"/>
                <w:lang w:val="es-ES"/>
              </w:rPr>
              <w:t>Oxigenação Apneica</w:t>
            </w:r>
          </w:p>
        </w:tc>
        <w:tc>
          <w:tcPr>
            <w:tcW w:w="6435" w:type="dxa"/>
            <w:tcMar/>
          </w:tcPr>
          <w:p w:rsidR="158F15FA" w:rsidP="3045E523" w:rsidRDefault="158F15FA" w14:paraId="6FCAFD5A" w14:textId="479389EA">
            <w:pPr>
              <w:pStyle w:val="Normal"/>
            </w:pPr>
            <w:r w:rsidRPr="3045E523" w:rsidR="158F15FA">
              <w:rPr>
                <w:rFonts w:ascii="Calibri" w:hAnsi="Calibri" w:eastAsia="Calibri" w:cs="Calibri"/>
                <w:noProof w:val="0"/>
                <w:sz w:val="22"/>
                <w:szCs w:val="22"/>
                <w:lang w:val="es-ES"/>
              </w:rPr>
              <w:t>Cânula nasal padrão (10-15 L/min)</w:t>
            </w:r>
          </w:p>
          <w:p w:rsidR="158F15FA" w:rsidP="3045E523" w:rsidRDefault="158F15FA" w14:paraId="548765BB" w14:textId="3A59D4B4">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Mostrou prolongar o tempo até a dessaturação</w:t>
            </w:r>
          </w:p>
          <w:p w:rsidR="158F15FA" w:rsidP="3045E523" w:rsidRDefault="158F15FA" w14:paraId="0D28278E" w14:textId="5830D46B">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Fornece nível imprevisível de troca gasosa Cânula de oxigênio nasal de alto fluxo (40-70 L/min)</w:t>
            </w:r>
          </w:p>
          <w:p w:rsidR="158F15FA" w:rsidP="3045E523" w:rsidRDefault="158F15FA" w14:paraId="0F8722B0" w14:textId="109BD844">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Mostrou prolongar significativamente o tempo até a dessaturação na sala de operação</w:t>
            </w:r>
          </w:p>
          <w:p w:rsidR="158F15FA" w:rsidP="3045E523" w:rsidRDefault="158F15FA" w14:paraId="33D14417" w14:textId="56273358">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Reduz a taxa de acúmulo de CO2 via lavagem do espaço morto em maior extensão do que as cânulas padrão</w:t>
            </w:r>
          </w:p>
          <w:p w:rsidR="158F15FA" w:rsidP="3045E523" w:rsidRDefault="158F15FA" w14:paraId="27F875FD" w14:textId="681C128E">
            <w:pPr>
              <w:pStyle w:val="ListParagraph"/>
              <w:numPr>
                <w:ilvl w:val="0"/>
                <w:numId w:val="1"/>
              </w:numPr>
              <w:ind w:left="-20" w:right="-20"/>
              <w:rPr>
                <w:rFonts w:ascii="Calibri" w:hAnsi="Calibri" w:eastAsia="Calibri" w:cs="Calibri"/>
                <w:noProof w:val="0"/>
                <w:sz w:val="22"/>
                <w:szCs w:val="22"/>
                <w:lang w:val="es-ES"/>
              </w:rPr>
            </w:pPr>
            <w:r w:rsidRPr="3045E523" w:rsidR="158F15FA">
              <w:rPr>
                <w:rFonts w:ascii="Calibri" w:hAnsi="Calibri" w:eastAsia="Calibri" w:cs="Calibri"/>
                <w:noProof w:val="0"/>
                <w:sz w:val="22"/>
                <w:szCs w:val="22"/>
                <w:lang w:val="es-ES"/>
              </w:rPr>
              <w:t>Base fisiológica para desempenho melhorado em comparação com cânulas nasais padrão</w:t>
            </w:r>
          </w:p>
          <w:p w:rsidR="3045E523" w:rsidP="3045E523" w:rsidRDefault="3045E523" w14:paraId="51E2778A" w14:textId="3CC0DA03">
            <w:pPr>
              <w:pStyle w:val="Normal"/>
              <w:rPr>
                <w:rFonts w:ascii="Calibri" w:hAnsi="Calibri" w:eastAsia="Calibri" w:cs="Calibri"/>
                <w:noProof w:val="0"/>
                <w:sz w:val="22"/>
                <w:szCs w:val="22"/>
                <w:lang w:val="es-ES"/>
              </w:rPr>
            </w:pPr>
          </w:p>
        </w:tc>
      </w:tr>
      <w:tr w:rsidR="3045E523" w:rsidTr="3045E523" w14:paraId="30D5153E">
        <w:trPr>
          <w:trHeight w:val="300"/>
        </w:trPr>
        <w:tc>
          <w:tcPr>
            <w:tcW w:w="2580" w:type="dxa"/>
            <w:tcMar/>
          </w:tcPr>
          <w:p w:rsidR="158F15FA" w:rsidP="3045E523" w:rsidRDefault="158F15FA" w14:paraId="6989CAE6" w14:textId="3DFC1390">
            <w:pPr>
              <w:pStyle w:val="Normal"/>
            </w:pPr>
            <w:r w:rsidRPr="3045E523" w:rsidR="158F15FA">
              <w:rPr>
                <w:rFonts w:ascii="Calibri" w:hAnsi="Calibri" w:eastAsia="Calibri" w:cs="Calibri"/>
                <w:noProof w:val="0"/>
                <w:sz w:val="22"/>
                <w:szCs w:val="22"/>
                <w:lang w:val="es-ES"/>
              </w:rPr>
              <w:t>Hipoxemia Refratária</w:t>
            </w:r>
          </w:p>
        </w:tc>
        <w:tc>
          <w:tcPr>
            <w:tcW w:w="6435" w:type="dxa"/>
            <w:tcMar/>
          </w:tcPr>
          <w:p w:rsidR="158F15FA" w:rsidP="3045E523" w:rsidRDefault="158F15FA" w14:paraId="7272CB63" w14:textId="60AE6528">
            <w:pPr>
              <w:pStyle w:val="Normal"/>
            </w:pPr>
            <w:r w:rsidRPr="3045E523" w:rsidR="158F15FA">
              <w:rPr>
                <w:rFonts w:ascii="Calibri" w:hAnsi="Calibri" w:eastAsia="Calibri" w:cs="Calibri"/>
                <w:noProof w:val="0"/>
                <w:sz w:val="22"/>
                <w:szCs w:val="22"/>
                <w:lang w:val="es-ES"/>
              </w:rPr>
              <w:t xml:space="preserve">Alto risco de </w:t>
            </w:r>
            <w:r w:rsidRPr="3045E523" w:rsidR="158F15FA">
              <w:rPr>
                <w:rFonts w:ascii="Calibri" w:hAnsi="Calibri" w:eastAsia="Calibri" w:cs="Calibri"/>
                <w:noProof w:val="0"/>
                <w:sz w:val="22"/>
                <w:szCs w:val="22"/>
                <w:lang w:val="es-ES"/>
              </w:rPr>
              <w:t>intolerância</w:t>
            </w:r>
            <w:r w:rsidRPr="3045E523" w:rsidR="158F15FA">
              <w:rPr>
                <w:rFonts w:ascii="Calibri" w:hAnsi="Calibri" w:eastAsia="Calibri" w:cs="Calibri"/>
                <w:noProof w:val="0"/>
                <w:sz w:val="22"/>
                <w:szCs w:val="22"/>
                <w:lang w:val="es-ES"/>
              </w:rPr>
              <w:t xml:space="preserve"> </w:t>
            </w:r>
            <w:r w:rsidRPr="3045E523" w:rsidR="158F15FA">
              <w:rPr>
                <w:rFonts w:ascii="Calibri" w:hAnsi="Calibri" w:eastAsia="Calibri" w:cs="Calibri"/>
                <w:noProof w:val="0"/>
                <w:sz w:val="22"/>
                <w:szCs w:val="22"/>
                <w:lang w:val="es-ES"/>
              </w:rPr>
              <w:t>apneica</w:t>
            </w:r>
            <w:r w:rsidRPr="3045E523" w:rsidR="158F15FA">
              <w:rPr>
                <w:rFonts w:ascii="Calibri" w:hAnsi="Calibri" w:eastAsia="Calibri" w:cs="Calibri"/>
                <w:noProof w:val="0"/>
                <w:sz w:val="22"/>
                <w:szCs w:val="22"/>
                <w:lang w:val="es-ES"/>
              </w:rPr>
              <w:t xml:space="preserve"> severa </w:t>
            </w:r>
          </w:p>
          <w:p w:rsidR="158F15FA" w:rsidP="3045E523" w:rsidRDefault="158F15FA" w14:paraId="6A6CBCD1" w14:textId="06987700">
            <w:pPr>
              <w:pStyle w:val="Normal"/>
            </w:pPr>
            <w:r w:rsidRPr="3045E523" w:rsidR="158F15FA">
              <w:rPr>
                <w:rFonts w:ascii="Calibri" w:hAnsi="Calibri" w:eastAsia="Calibri" w:cs="Calibri"/>
                <w:noProof w:val="0"/>
                <w:sz w:val="22"/>
                <w:szCs w:val="22"/>
                <w:lang w:val="es-ES"/>
              </w:rPr>
              <w:t xml:space="preserve">Considere a </w:t>
            </w:r>
            <w:r w:rsidRPr="3045E523" w:rsidR="158F15FA">
              <w:rPr>
                <w:rFonts w:ascii="Calibri" w:hAnsi="Calibri" w:eastAsia="Calibri" w:cs="Calibri"/>
                <w:noProof w:val="0"/>
                <w:sz w:val="22"/>
                <w:szCs w:val="22"/>
                <w:lang w:val="es-ES"/>
              </w:rPr>
              <w:t>estratégia</w:t>
            </w:r>
            <w:r w:rsidRPr="3045E523" w:rsidR="158F15FA">
              <w:rPr>
                <w:rFonts w:ascii="Calibri" w:hAnsi="Calibri" w:eastAsia="Calibri" w:cs="Calibri"/>
                <w:noProof w:val="0"/>
                <w:sz w:val="22"/>
                <w:szCs w:val="22"/>
                <w:lang w:val="es-ES"/>
              </w:rPr>
              <w:t xml:space="preserve"> de </w:t>
            </w:r>
            <w:r w:rsidRPr="3045E523" w:rsidR="158F15FA">
              <w:rPr>
                <w:rFonts w:ascii="Calibri" w:hAnsi="Calibri" w:eastAsia="Calibri" w:cs="Calibri"/>
                <w:noProof w:val="0"/>
                <w:sz w:val="22"/>
                <w:szCs w:val="22"/>
                <w:lang w:val="es-ES"/>
              </w:rPr>
              <w:t>intubação</w:t>
            </w:r>
            <w:r w:rsidRPr="3045E523" w:rsidR="158F15FA">
              <w:rPr>
                <w:rFonts w:ascii="Calibri" w:hAnsi="Calibri" w:eastAsia="Calibri" w:cs="Calibri"/>
                <w:noProof w:val="0"/>
                <w:sz w:val="22"/>
                <w:szCs w:val="22"/>
                <w:lang w:val="es-ES"/>
              </w:rPr>
              <w:t xml:space="preserve"> </w:t>
            </w:r>
            <w:r w:rsidRPr="3045E523" w:rsidR="158F15FA">
              <w:rPr>
                <w:rFonts w:ascii="Calibri" w:hAnsi="Calibri" w:eastAsia="Calibri" w:cs="Calibri"/>
                <w:noProof w:val="0"/>
                <w:sz w:val="22"/>
                <w:szCs w:val="22"/>
                <w:lang w:val="es-ES"/>
              </w:rPr>
              <w:t>com</w:t>
            </w:r>
            <w:r w:rsidRPr="3045E523" w:rsidR="158F15FA">
              <w:rPr>
                <w:rFonts w:ascii="Calibri" w:hAnsi="Calibri" w:eastAsia="Calibri" w:cs="Calibri"/>
                <w:noProof w:val="0"/>
                <w:sz w:val="22"/>
                <w:szCs w:val="22"/>
                <w:lang w:val="es-ES"/>
              </w:rPr>
              <w:t xml:space="preserve"> </w:t>
            </w:r>
            <w:r w:rsidRPr="3045E523" w:rsidR="158F15FA">
              <w:rPr>
                <w:rFonts w:ascii="Calibri" w:hAnsi="Calibri" w:eastAsia="Calibri" w:cs="Calibri"/>
                <w:noProof w:val="0"/>
                <w:sz w:val="22"/>
                <w:szCs w:val="22"/>
                <w:lang w:val="es-ES"/>
              </w:rPr>
              <w:t>respiração</w:t>
            </w:r>
            <w:r w:rsidRPr="3045E523" w:rsidR="158F15FA">
              <w:rPr>
                <w:rFonts w:ascii="Calibri" w:hAnsi="Calibri" w:eastAsia="Calibri" w:cs="Calibri"/>
                <w:noProof w:val="0"/>
                <w:sz w:val="22"/>
                <w:szCs w:val="22"/>
                <w:lang w:val="es-ES"/>
              </w:rPr>
              <w:t xml:space="preserve"> </w:t>
            </w:r>
            <w:r w:rsidRPr="3045E523" w:rsidR="158F15FA">
              <w:rPr>
                <w:rFonts w:ascii="Calibri" w:hAnsi="Calibri" w:eastAsia="Calibri" w:cs="Calibri"/>
                <w:noProof w:val="0"/>
                <w:sz w:val="22"/>
                <w:szCs w:val="22"/>
                <w:lang w:val="es-ES"/>
              </w:rPr>
              <w:t>espontânea</w:t>
            </w:r>
            <w:r w:rsidRPr="3045E523" w:rsidR="158F15FA">
              <w:rPr>
                <w:rFonts w:ascii="Calibri" w:hAnsi="Calibri" w:eastAsia="Calibri" w:cs="Calibri"/>
                <w:noProof w:val="0"/>
                <w:sz w:val="22"/>
                <w:szCs w:val="22"/>
                <w:lang w:val="es-ES"/>
              </w:rPr>
              <w:t xml:space="preserve"> acordada, especialmente para PaO2/FiO2 &lt; 100.</w:t>
            </w:r>
          </w:p>
        </w:tc>
      </w:tr>
      <w:tr w:rsidR="3045E523" w:rsidTr="3045E523" w14:paraId="3AB113A0">
        <w:trPr>
          <w:trHeight w:val="300"/>
        </w:trPr>
        <w:tc>
          <w:tcPr>
            <w:tcW w:w="2580" w:type="dxa"/>
            <w:tcMar/>
          </w:tcPr>
          <w:p w:rsidR="7642AC9C" w:rsidP="3045E523" w:rsidRDefault="7642AC9C" w14:paraId="667C758B" w14:textId="5DB27764">
            <w:pPr>
              <w:pStyle w:val="Normal"/>
            </w:pPr>
            <w:r w:rsidRPr="3045E523" w:rsidR="7642AC9C">
              <w:rPr>
                <w:rFonts w:ascii="Calibri" w:hAnsi="Calibri" w:eastAsia="Calibri" w:cs="Calibri"/>
                <w:noProof w:val="0"/>
                <w:sz w:val="22"/>
                <w:szCs w:val="22"/>
                <w:lang w:val="es-ES"/>
              </w:rPr>
              <w:t>Outras Otimizações</w:t>
            </w:r>
          </w:p>
        </w:tc>
        <w:tc>
          <w:tcPr>
            <w:tcW w:w="6435" w:type="dxa"/>
            <w:tcMar/>
          </w:tcPr>
          <w:p w:rsidR="7642AC9C" w:rsidP="3045E523" w:rsidRDefault="7642AC9C" w14:paraId="33771FE1" w14:textId="73944E4D">
            <w:pPr>
              <w:pStyle w:val="Normal"/>
            </w:pPr>
            <w:r w:rsidRPr="3045E523" w:rsidR="7642AC9C">
              <w:rPr>
                <w:rFonts w:ascii="Calibri" w:hAnsi="Calibri" w:eastAsia="Calibri" w:cs="Calibri"/>
                <w:noProof w:val="0"/>
                <w:sz w:val="22"/>
                <w:szCs w:val="22"/>
                <w:lang w:val="es-ES"/>
              </w:rPr>
              <w:t>Ultrassom à beira do leito pode esclarecer a etiologia e diagnosticar condições tratáveis, como pneumotórax, edema pulmonar, efusão pleural, embolia pulmonar, disfunção cardíaca, etc.</w:t>
            </w:r>
          </w:p>
          <w:p w:rsidR="7642AC9C" w:rsidP="3045E523" w:rsidRDefault="7642AC9C" w14:paraId="0E96205A" w14:textId="29AF01DC">
            <w:pPr>
              <w:pStyle w:val="Normal"/>
            </w:pPr>
            <w:r w:rsidRPr="3045E523" w:rsidR="7642AC9C">
              <w:rPr>
                <w:rFonts w:ascii="Calibri" w:hAnsi="Calibri" w:eastAsia="Calibri" w:cs="Calibri"/>
                <w:noProof w:val="0"/>
                <w:sz w:val="22"/>
                <w:szCs w:val="22"/>
                <w:lang w:val="es-ES"/>
              </w:rPr>
              <w:t>Vasodilatadores pulmonares reduzem o desequilíbrio ventilação-perfusão e reduzem a pós-carga do ventrículo direito.</w:t>
            </w:r>
          </w:p>
        </w:tc>
      </w:tr>
    </w:tbl>
    <w:p w:rsidR="7642AC9C" w:rsidP="3045E523" w:rsidRDefault="7642AC9C" w14:paraId="44AF7562" w14:textId="39843FFB">
      <w:pPr>
        <w:pStyle w:val="Normal"/>
      </w:pPr>
      <w:r w:rsidR="7642AC9C">
        <w:rPr/>
        <w:t>Tabela 1. Resumo das Recomendações para Otimização Peri-Intubação do Paciente Hipoxêmico</w:t>
      </w:r>
    </w:p>
    <w:p w:rsidR="3045E523" w:rsidP="3045E523" w:rsidRDefault="3045E523" w14:paraId="1F831CB2" w14:textId="1535832C">
      <w:pPr>
        <w:pStyle w:val="Normal"/>
      </w:pPr>
    </w:p>
    <w:p w:rsidR="35489928" w:rsidP="3045E523" w:rsidRDefault="35489928" w14:paraId="0F6F26F0" w14:textId="5D163FB8">
      <w:pPr>
        <w:pStyle w:val="Normal"/>
      </w:pPr>
      <w:r w:rsidR="35489928">
        <w:rPr/>
        <w:t>Preoxigenação</w:t>
      </w:r>
    </w:p>
    <w:p w:rsidR="35489928" w:rsidP="3045E523" w:rsidRDefault="35489928" w14:paraId="0348BE3B" w14:textId="0D04BF20">
      <w:pPr>
        <w:pStyle w:val="Normal"/>
      </w:pPr>
      <w:r w:rsidR="35489928">
        <w:rPr/>
        <w:t>A preoxigenação ótima prolonga o tempo antes da dessaturação de oxihemoglobina em pacientes submetidos a TI, reduzindo a frequência de dessaturação e permitindo mais tempo para manipulação da via aérea, aumentando potencialmente a probabilidade de sucesso na primeira tentativa e reduzindo o risco de complicações. Preoxigenação com uma máscara não reinalante, tanto com um selo eficaz e ajustada para taxas de fluxo rápido (50-70 L/min), mostrou-se não inferior à preoxigenação com ventilação de máscara de balão e válvula (BMV) em taxas de fluxo rápido de 15 L/min. No caso de selo ineficaz resultando em diluição do oxigênio inspirado com o ar ambiente, a adição de um cateter nasal (NC) a 10 L/min ao método primário de preoxigenação aumentará o oxigênio final expirado. Preoxigenação na posição de cabeceira elevada de 20 a 30 graus aumentará a CRF, otimizando assim a eficácia da preoxigenação e prolongando o tempo até a dessaturação. Essa intervenção deve ser equilibrada com as condições hemodinâmicas do paciente e sua capacidade de tolerar essa posição. Preoxigenação com ventilação positiva não invasiva (NIPPV) é recomendada para pacientes com fisiologia de shunt, e foi associada a hipoxia peri-TI reduzida em comparação com máscara não reinalante. Preoxigenação com cânula de oxigênio nasal de alto fluxo (HFNO) mostrou-se não inferior ao NIPPV na prevenção de dessaturação quando deixada no lugar para oxigenação apneica.</w:t>
      </w:r>
    </w:p>
    <w:p w:rsidR="35489928" w:rsidP="3045E523" w:rsidRDefault="35489928" w14:paraId="67EF67D1" w14:textId="3F724E25">
      <w:pPr>
        <w:pStyle w:val="Normal"/>
      </w:pPr>
      <w:r w:rsidR="35489928">
        <w:rPr/>
        <w:t xml:space="preserve">Pacientes </w:t>
      </w:r>
      <w:r w:rsidR="35489928">
        <w:rPr/>
        <w:t>com</w:t>
      </w:r>
      <w:r w:rsidR="35489928">
        <w:rPr/>
        <w:t xml:space="preserve"> </w:t>
      </w:r>
      <w:r w:rsidR="35489928">
        <w:rPr/>
        <w:t>saturação</w:t>
      </w:r>
      <w:r w:rsidR="35489928">
        <w:rPr/>
        <w:t xml:space="preserve"> de oxihemoglobina &lt; 93% </w:t>
      </w:r>
      <w:r w:rsidR="35489928">
        <w:rPr/>
        <w:t>não</w:t>
      </w:r>
      <w:r w:rsidR="35489928">
        <w:rPr/>
        <w:t xml:space="preserve"> responsivos </w:t>
      </w:r>
      <w:r w:rsidR="35489928">
        <w:rPr/>
        <w:t>às</w:t>
      </w:r>
      <w:r w:rsidR="35489928">
        <w:rPr/>
        <w:t xml:space="preserve"> técnicas </w:t>
      </w:r>
      <w:r w:rsidR="35489928">
        <w:rPr/>
        <w:t>acima</w:t>
      </w:r>
      <w:r w:rsidR="35489928">
        <w:rPr/>
        <w:t xml:space="preserve"> </w:t>
      </w:r>
      <w:r w:rsidR="35489928">
        <w:rPr/>
        <w:t>provavelmente</w:t>
      </w:r>
      <w:r w:rsidR="35489928">
        <w:rPr/>
        <w:t xml:space="preserve"> </w:t>
      </w:r>
      <w:r w:rsidR="35489928">
        <w:rPr/>
        <w:t>têm</w:t>
      </w:r>
      <w:r w:rsidR="35489928">
        <w:rPr/>
        <w:t xml:space="preserve"> </w:t>
      </w:r>
      <w:r w:rsidR="35489928">
        <w:rPr/>
        <w:t>fisiologia</w:t>
      </w:r>
      <w:r w:rsidR="35489928">
        <w:rPr/>
        <w:t xml:space="preserve"> de shunt significativa. </w:t>
      </w:r>
      <w:r w:rsidR="35489928">
        <w:rPr/>
        <w:t>Nessas</w:t>
      </w:r>
      <w:r w:rsidR="35489928">
        <w:rPr/>
        <w:t xml:space="preserve"> </w:t>
      </w:r>
      <w:r w:rsidR="35489928">
        <w:rPr/>
        <w:t>instâncias</w:t>
      </w:r>
      <w:r w:rsidR="35489928">
        <w:rPr/>
        <w:t xml:space="preserve">, NIPPV, usando </w:t>
      </w:r>
      <w:r w:rsidR="35489928">
        <w:rPr/>
        <w:t>um</w:t>
      </w:r>
      <w:r w:rsidR="35489928">
        <w:rPr/>
        <w:t xml:space="preserve"> ventilador </w:t>
      </w:r>
      <w:r w:rsidR="35489928">
        <w:rPr/>
        <w:t>mecânico</w:t>
      </w:r>
      <w:r w:rsidR="35489928">
        <w:rPr/>
        <w:t xml:space="preserve"> </w:t>
      </w:r>
      <w:r w:rsidR="35489928">
        <w:rPr/>
        <w:t>ou</w:t>
      </w:r>
      <w:r w:rsidR="35489928">
        <w:rPr/>
        <w:t xml:space="preserve"> BVM </w:t>
      </w:r>
      <w:r w:rsidR="35489928">
        <w:rPr/>
        <w:t>assistido</w:t>
      </w:r>
      <w:r w:rsidR="35489928">
        <w:rPr/>
        <w:t xml:space="preserve"> manualmente usando 5 a 10 cm H2O de </w:t>
      </w:r>
      <w:r w:rsidR="35489928">
        <w:rPr/>
        <w:t>pressão</w:t>
      </w:r>
      <w:r w:rsidR="35489928">
        <w:rPr/>
        <w:t xml:space="preserve"> positiva no final da </w:t>
      </w:r>
      <w:r w:rsidR="35489928">
        <w:rPr/>
        <w:t>expiração</w:t>
      </w:r>
      <w:r w:rsidR="35489928">
        <w:rPr/>
        <w:t xml:space="preserve">, é o próximo </w:t>
      </w:r>
      <w:r w:rsidR="35489928">
        <w:rPr/>
        <w:t>passo</w:t>
      </w:r>
      <w:r w:rsidR="35489928">
        <w:rPr/>
        <w:t xml:space="preserve"> lógico no aumento dos </w:t>
      </w:r>
      <w:r w:rsidR="35489928">
        <w:rPr/>
        <w:t>esforços</w:t>
      </w:r>
      <w:r w:rsidR="35489928">
        <w:rPr/>
        <w:t xml:space="preserve"> de </w:t>
      </w:r>
      <w:r w:rsidR="35489928">
        <w:rPr/>
        <w:t>preoxigenação</w:t>
      </w:r>
      <w:r w:rsidR="35489928">
        <w:rPr/>
        <w:t xml:space="preserve">, </w:t>
      </w:r>
      <w:r w:rsidR="35489928">
        <w:rPr/>
        <w:t>pois</w:t>
      </w:r>
      <w:r w:rsidR="35489928">
        <w:rPr/>
        <w:t xml:space="preserve"> </w:t>
      </w:r>
      <w:r w:rsidR="35489928">
        <w:rPr/>
        <w:t>reduz</w:t>
      </w:r>
      <w:r w:rsidR="35489928">
        <w:rPr/>
        <w:t xml:space="preserve"> o </w:t>
      </w:r>
      <w:r w:rsidR="35489928">
        <w:rPr/>
        <w:t>desequilíbrio</w:t>
      </w:r>
      <w:r w:rsidR="35489928">
        <w:rPr/>
        <w:t xml:space="preserve"> </w:t>
      </w:r>
      <w:r w:rsidR="35489928">
        <w:rPr/>
        <w:t>ventilação-perfusão</w:t>
      </w:r>
      <w:r w:rsidR="35489928">
        <w:rPr/>
        <w:t xml:space="preserve"> e </w:t>
      </w:r>
      <w:r w:rsidR="35489928">
        <w:rPr/>
        <w:t>melhora</w:t>
      </w:r>
      <w:r w:rsidR="35489928">
        <w:rPr/>
        <w:t xml:space="preserve"> a CRF. Adicionalmente, vasodilatadores pulmonares </w:t>
      </w:r>
      <w:r w:rsidR="35489928">
        <w:rPr/>
        <w:t>inalatórios</w:t>
      </w:r>
      <w:r w:rsidR="35489928">
        <w:rPr/>
        <w:t xml:space="preserve"> (por </w:t>
      </w:r>
      <w:r w:rsidR="35489928">
        <w:rPr/>
        <w:t>exemplo</w:t>
      </w:r>
      <w:r w:rsidR="35489928">
        <w:rPr/>
        <w:t xml:space="preserve">, óxido nítrico) </w:t>
      </w:r>
      <w:r w:rsidR="35489928">
        <w:rPr/>
        <w:t>foram</w:t>
      </w:r>
      <w:r w:rsidR="35489928">
        <w:rPr/>
        <w:t xml:space="preserve"> recomendados para </w:t>
      </w:r>
      <w:r w:rsidR="35489928">
        <w:rPr/>
        <w:t>reduzir</w:t>
      </w:r>
      <w:r w:rsidR="35489928">
        <w:rPr/>
        <w:t xml:space="preserve"> o </w:t>
      </w:r>
      <w:r w:rsidR="35489928">
        <w:rPr/>
        <w:t>desequilíbrio</w:t>
      </w:r>
      <w:r w:rsidR="35489928">
        <w:rPr/>
        <w:t xml:space="preserve"> </w:t>
      </w:r>
      <w:r w:rsidR="35489928">
        <w:rPr/>
        <w:t>ventilação-perfusão</w:t>
      </w:r>
      <w:r w:rsidR="35489928">
        <w:rPr/>
        <w:t xml:space="preserve"> e </w:t>
      </w:r>
      <w:r w:rsidR="35489928">
        <w:rPr/>
        <w:t>melhorar</w:t>
      </w:r>
      <w:r w:rsidR="35489928">
        <w:rPr/>
        <w:t xml:space="preserve"> a </w:t>
      </w:r>
      <w:r w:rsidR="35489928">
        <w:rPr/>
        <w:t>oxigenação</w:t>
      </w:r>
      <w:r w:rsidR="35489928">
        <w:rPr/>
        <w:t>.</w:t>
      </w:r>
    </w:p>
    <w:p w:rsidR="5542864F" w:rsidP="3045E523" w:rsidRDefault="5542864F" w14:paraId="4CDA027B" w14:textId="745F7634">
      <w:pPr>
        <w:pStyle w:val="Normal"/>
      </w:pPr>
      <w:r w:rsidR="5542864F">
        <w:rPr/>
        <w:t>Uma abordagem lógica para otimizar a preoxigenação é selecionar um método de entrega de oxigênio com base na gravidade da hipoxemia do paciente. A hipoxemia pode ser classificada pela razão entre a pressão parcial de oxigênio arterial e a fração de oxigênio inspirado (PaO2/FiO2), sendo que um valor mais baixo representa uma hipoxemia mais grave. BMV ou HFNO foram recomendados para uma PaO2/FiO2 basal de 300 a 200, NIPPV para 200 a 100, e consideração de uma abordagem de intubação acordada e respirando espontaneamente para PaO2/FiO2 &lt; 100.</w:t>
      </w:r>
    </w:p>
    <w:p w:rsidR="5542864F" w:rsidP="3045E523" w:rsidRDefault="5542864F" w14:paraId="6D99E525" w14:textId="32A4D3FF">
      <w:pPr>
        <w:pStyle w:val="Normal"/>
      </w:pPr>
      <w:r w:rsidR="5542864F">
        <w:rPr/>
        <w:t xml:space="preserve"> </w:t>
      </w:r>
    </w:p>
    <w:p w:rsidR="5542864F" w:rsidP="3045E523" w:rsidRDefault="5542864F" w14:paraId="7B113B74" w14:textId="081AF9F8">
      <w:pPr>
        <w:pStyle w:val="Normal"/>
      </w:pPr>
      <w:r w:rsidR="5542864F">
        <w:rPr/>
        <w:t>Oxigenação Apneica</w:t>
      </w:r>
    </w:p>
    <w:p w:rsidR="5542864F" w:rsidP="3045E523" w:rsidRDefault="5542864F" w14:paraId="27C64845" w14:textId="326717BA">
      <w:pPr>
        <w:pStyle w:val="Normal"/>
      </w:pPr>
      <w:r w:rsidR="5542864F">
        <w:rPr/>
        <w:t>A oxigenação apneica é a aplicação de oxigênio suplementar sem pressão positiva variável, tipicamente via cânula nasal, a um paciente apneico. Alguma quantidade (imprevisível) de troca gasosa é alcançada através da lavagem do espaço morto e mistura gasosa turbulenta. Isso pode ser alcançado usando uma NC padrão de 10 a 15 L/min e é eficaz em prolongar o tempo até a dessaturação. Cânulas HFNO mais recentes entregam oxigênio aquecido e umidificado em taxas de 40 a 70 L/min, e mostraram aumentar o tempo de apneia sem dessaturação e reduzir a taxa de acumulação de dióxido de carbono através dos mesmos mecanismos. HFNO reduz a taxa de acumulação de dióxido de carbono em maior extensão do que a NC padrão. A combinação de NIPPV para preoxigenação e HFNO para oxigenação apneica mostrou manter a saturação de oxigênio melhor do que NIPPV sozinha para pacientes com hipoxia severa. Na população gravemente doente, HFNO e NC não foram comparados diretamente. Pode-se inferir que NC teria desempenho inferior, pois HFNC mostrou prolongar significativamente o tempo até a dessaturação na sala de operação, e a reduzida taxa de acumulação de dióxido de carbono em comparação com NC reflete um aumento na troca gasosa.</w:t>
      </w:r>
    </w:p>
    <w:p w:rsidR="5542864F" w:rsidP="3045E523" w:rsidRDefault="5542864F" w14:paraId="7EA4A96B" w14:textId="0C223CBB">
      <w:pPr>
        <w:pStyle w:val="Normal"/>
      </w:pPr>
      <w:r w:rsidR="5542864F">
        <w:rPr/>
        <w:t xml:space="preserve"> </w:t>
      </w:r>
    </w:p>
    <w:p w:rsidR="5542864F" w:rsidP="3045E523" w:rsidRDefault="5542864F" w14:paraId="2B2F6706" w14:textId="349AAF08">
      <w:pPr>
        <w:pStyle w:val="Normal"/>
      </w:pPr>
      <w:r w:rsidR="5542864F">
        <w:rPr/>
        <w:t>Hipoxemia Refratária</w:t>
      </w:r>
    </w:p>
    <w:p w:rsidR="5542864F" w:rsidP="3045E523" w:rsidRDefault="5542864F" w14:paraId="36994E15" w14:textId="6E9A3842">
      <w:pPr>
        <w:pStyle w:val="Normal"/>
      </w:pPr>
      <w:r w:rsidR="5542864F">
        <w:rPr/>
        <w:t>Pacientes ansiosos ou delirantes podem ser incapazes de tolerar preoxigenação. Nesses casos, sedativos não depressores respiratórios (por exemplo, cetamina) podem ser considerados antes da preoxigenação para melhorar a conformidade do paciente e a eficácia da preoxigenação. Uma titulação farmacológica cautelosa é justificada com esta abordagem para evitar a apneia que pode ocorrer mesmo com pequenas doses sedativas, e o provedor deve estar preparado para intubar urgentemente em caso de dessaturação.</w:t>
      </w:r>
    </w:p>
    <w:p w:rsidR="5542864F" w:rsidP="3045E523" w:rsidRDefault="5542864F" w14:paraId="5F97D919" w14:textId="3AE0C2B1">
      <w:pPr>
        <w:pStyle w:val="Normal"/>
      </w:pPr>
      <w:r w:rsidR="5542864F">
        <w:rPr/>
        <w:t xml:space="preserve"> </w:t>
      </w:r>
    </w:p>
    <w:p w:rsidR="5542864F" w:rsidP="3045E523" w:rsidRDefault="5542864F" w14:paraId="3FFD3469" w14:textId="1E3160E2">
      <w:pPr>
        <w:pStyle w:val="Normal"/>
      </w:pPr>
      <w:r w:rsidR="5542864F">
        <w:rPr/>
        <w:t>Intubação Sequencial Rápida versus BMV</w:t>
      </w:r>
    </w:p>
    <w:p w:rsidR="5542864F" w:rsidP="3045E523" w:rsidRDefault="5542864F" w14:paraId="28E04EBF" w14:textId="4BE7F2FC">
      <w:pPr>
        <w:pStyle w:val="Normal"/>
      </w:pPr>
      <w:r w:rsidR="5542864F">
        <w:rPr/>
        <w:t>Um estudo recente comparou o uso de BMV durante o intervalo apneico entre a indução da anestesia e TI ao tradicional método de intubação sequencial rápida (RSI) sem BMV em adultos gravemente doentes. BMV resultou em maiores saturações de oxigênio e reduziu a incidência de dessaturações para &lt; 80%. Este ensaio também sugere que BMV pode ser mais eficaz do que oxigenação apneica em manter a saturação de oxigênio em pacientes gravemente doentes. O estudo, no entanto, não foi projetado para avaliar desfechos de segurança, notavelmente aspiração traqueobrônquica. Pacientes com contraindicações óbvias para BMV (por exemplo, obstrução intestinal) foram excluídos. Dentro dessas limitações, os resultados desafiam o dogma de que BMV deve ser evitado em pacientes gravemente doentes.</w:t>
      </w:r>
    </w:p>
    <w:p w:rsidR="5542864F" w:rsidP="3045E523" w:rsidRDefault="5542864F" w14:paraId="75C39CA4" w14:textId="7C5812C5">
      <w:pPr>
        <w:pStyle w:val="Normal"/>
      </w:pPr>
      <w:r w:rsidR="5542864F">
        <w:rPr/>
        <w:t xml:space="preserve"> </w:t>
      </w:r>
    </w:p>
    <w:p w:rsidR="5542864F" w:rsidP="3045E523" w:rsidRDefault="5542864F" w14:paraId="43892C4F" w14:textId="612C26A9">
      <w:pPr>
        <w:pStyle w:val="Normal"/>
      </w:pPr>
      <w:r w:rsidR="5542864F">
        <w:rPr/>
        <w:t>Ultrassom à Beira do Leito</w:t>
      </w:r>
    </w:p>
    <w:p w:rsidR="5542864F" w:rsidP="3045E523" w:rsidRDefault="5542864F" w14:paraId="3186069D" w14:textId="7508122A">
      <w:pPr>
        <w:pStyle w:val="Normal"/>
      </w:pPr>
      <w:r w:rsidR="5542864F">
        <w:rPr/>
        <w:t>Se o tempo permitir, o ultrassom à beira do leito (POCUS) pode ajudar a esclarecer a etiologia da hipoxemia e guiar a terapia.</w:t>
      </w:r>
    </w:p>
    <w:p w:rsidR="5542864F" w:rsidP="3045E523" w:rsidRDefault="5542864F" w14:paraId="6AF75348" w14:textId="50369332">
      <w:pPr>
        <w:pStyle w:val="Normal"/>
      </w:pPr>
      <w:r w:rsidR="5542864F">
        <w:rPr/>
        <w:t xml:space="preserve"> </w:t>
      </w:r>
    </w:p>
    <w:p w:rsidR="5542864F" w:rsidP="3045E523" w:rsidRDefault="5542864F" w14:paraId="6EF126C6" w14:textId="273AF38A">
      <w:pPr>
        <w:pStyle w:val="Normal"/>
      </w:pPr>
      <w:r w:rsidR="5542864F">
        <w:rPr/>
        <w:t>HIPOTENSÃO</w:t>
      </w:r>
    </w:p>
    <w:p w:rsidR="5542864F" w:rsidP="3045E523" w:rsidRDefault="5542864F" w14:paraId="6DCC80D2" w14:textId="44AA45ED">
      <w:pPr>
        <w:pStyle w:val="Normal"/>
      </w:pPr>
      <w:r w:rsidR="5542864F">
        <w:rPr/>
        <w:t>Pacientes que necessitam de ventilação mecânica frequentemente apresentam hipotensão. Estados de choque distributivo ou hipovolêmico estão associados a uma diminuição do retorno venoso, que é exacerbado pela vasodilatação secund</w:t>
      </w:r>
    </w:p>
    <w:p w:rsidR="5542864F" w:rsidP="3045E523" w:rsidRDefault="5542864F" w14:paraId="6D4E45C1" w14:textId="7E83F4EA">
      <w:pPr>
        <w:pStyle w:val="Normal"/>
      </w:pPr>
      <w:r w:rsidR="5542864F">
        <w:rPr/>
        <w:t xml:space="preserve"> </w:t>
      </w:r>
    </w:p>
    <w:p w:rsidR="5542864F" w:rsidP="3045E523" w:rsidRDefault="5542864F" w14:paraId="608C8200" w14:textId="4F05A177">
      <w:pPr>
        <w:pStyle w:val="Normal"/>
      </w:pPr>
      <w:r w:rsidR="5542864F">
        <w:rPr/>
        <w:t>ária a agentes de indução anestésica, relaxamento muscular e a transição abrupta para ventilação de pressão positiva. Hipotensão pré-TI, definida como pressão arterial sistólica &lt; 90 mmHg, foi associada a uma incidência de 12% a 15% de parada cardíaca peri-TI em intubações de emergência, da qual a circulação espontânea foi restabelecida em apenas 53% dos pacientes. Parada cardíaca peri-TI carrega um risco aumentado de 14 vezes de mortalidade hospitalar. Um índice de choque (frequência cardíaca dividida pela pressão arterial sistólica) &gt; 0,8 foi associado independentemente a um risco aumentado de parada cardíaca peri-TI. Mesmo 10 minutos de hipotensão podem resultar em desfechos ruins para pacientes de alto risco. Dada a gravidade e frequência dessas complicações, pacientes hipotensos requerem otimização hemodinâmica agressiva antes da TI. A Tabela 2 resume recomendações peri-TI para pacientes hipotensos.</w:t>
      </w:r>
    </w:p>
    <w:p w:rsidR="5542864F" w:rsidP="3045E523" w:rsidRDefault="5542864F" w14:paraId="53C3EDD9" w14:textId="346CC511">
      <w:pPr>
        <w:pStyle w:val="Normal"/>
      </w:pPr>
      <w:r w:rsidR="5542864F">
        <w:rPr/>
        <w:t xml:space="preserve"> </w:t>
      </w:r>
    </w:p>
    <w:p w:rsidR="5542864F" w:rsidP="3045E523" w:rsidRDefault="5542864F" w14:paraId="76F52DD4" w14:textId="014CEEA6">
      <w:pPr>
        <w:pStyle w:val="Normal"/>
      </w:pPr>
      <w:r w:rsidR="5542864F">
        <w:rPr/>
        <w:t>Administração de Volume</w:t>
      </w:r>
    </w:p>
    <w:p w:rsidR="5542864F" w:rsidP="3045E523" w:rsidRDefault="5542864F" w14:paraId="498FE2CA" w14:textId="1E9BFC07">
      <w:pPr>
        <w:pStyle w:val="Normal"/>
      </w:pPr>
      <w:r w:rsidR="5542864F">
        <w:rPr/>
        <w:t xml:space="preserve">A </w:t>
      </w:r>
      <w:r w:rsidR="5542864F">
        <w:rPr/>
        <w:t>administração</w:t>
      </w:r>
      <w:r w:rsidR="5542864F">
        <w:rPr/>
        <w:t xml:space="preserve"> ad hoc de </w:t>
      </w:r>
      <w:r w:rsidR="5542864F">
        <w:rPr/>
        <w:t>um</w:t>
      </w:r>
      <w:r w:rsidR="5542864F">
        <w:rPr/>
        <w:t xml:space="preserve"> bolo de cristaloide de 500 </w:t>
      </w:r>
      <w:r w:rsidR="5542864F">
        <w:rPr/>
        <w:t>mL</w:t>
      </w:r>
      <w:r w:rsidR="5542864F">
        <w:rPr/>
        <w:t xml:space="preserve"> antes da TI </w:t>
      </w:r>
      <w:r w:rsidR="5542864F">
        <w:rPr/>
        <w:t>foi</w:t>
      </w:r>
      <w:r w:rsidR="5542864F">
        <w:rPr/>
        <w:t xml:space="preserve"> </w:t>
      </w:r>
      <w:r w:rsidR="5542864F">
        <w:rPr/>
        <w:t>recentemente</w:t>
      </w:r>
      <w:r w:rsidR="5542864F">
        <w:rPr/>
        <w:t xml:space="preserve"> mostrada como </w:t>
      </w:r>
      <w:r w:rsidR="5542864F">
        <w:rPr/>
        <w:t>não</w:t>
      </w:r>
      <w:r w:rsidR="5542864F">
        <w:rPr/>
        <w:t xml:space="preserve"> alterando significativamente a </w:t>
      </w:r>
      <w:r w:rsidR="5542864F">
        <w:rPr/>
        <w:t>taxa</w:t>
      </w:r>
      <w:r w:rsidR="5542864F">
        <w:rPr/>
        <w:t xml:space="preserve"> de colapso cardiovascular peri-TI. </w:t>
      </w:r>
      <w:r w:rsidR="5542864F">
        <w:rPr/>
        <w:t>Uma</w:t>
      </w:r>
      <w:r w:rsidR="5542864F">
        <w:rPr/>
        <w:t xml:space="preserve"> </w:t>
      </w:r>
      <w:r w:rsidR="5542864F">
        <w:rPr/>
        <w:t>abordagem</w:t>
      </w:r>
      <w:r w:rsidR="5542864F">
        <w:rPr/>
        <w:t xml:space="preserve"> </w:t>
      </w:r>
      <w:r w:rsidR="5542864F">
        <w:rPr/>
        <w:t>mais</w:t>
      </w:r>
      <w:r w:rsidR="5542864F">
        <w:rPr/>
        <w:t xml:space="preserve"> fisiológica é administrar fluidos para pacientes que </w:t>
      </w:r>
      <w:r w:rsidR="5542864F">
        <w:rPr/>
        <w:t>são</w:t>
      </w:r>
      <w:r w:rsidR="5542864F">
        <w:rPr/>
        <w:t xml:space="preserve"> responsivos </w:t>
      </w:r>
      <w:r w:rsidR="5542864F">
        <w:rPr/>
        <w:t>ao</w:t>
      </w:r>
      <w:r w:rsidR="5542864F">
        <w:rPr/>
        <w:t xml:space="preserve"> </w:t>
      </w:r>
      <w:r w:rsidR="5542864F">
        <w:rPr/>
        <w:t>volume</w:t>
      </w:r>
      <w:r w:rsidR="5542864F">
        <w:rPr/>
        <w:t xml:space="preserve">. A </w:t>
      </w:r>
      <w:r w:rsidR="5542864F">
        <w:rPr/>
        <w:t>responsividade</w:t>
      </w:r>
      <w:r w:rsidR="5542864F">
        <w:rPr/>
        <w:t xml:space="preserve"> </w:t>
      </w:r>
      <w:r w:rsidR="5542864F">
        <w:rPr/>
        <w:t>ao</w:t>
      </w:r>
      <w:r w:rsidR="5542864F">
        <w:rPr/>
        <w:t xml:space="preserve"> </w:t>
      </w:r>
      <w:r w:rsidR="5542864F">
        <w:rPr/>
        <w:t>volume</w:t>
      </w:r>
      <w:r w:rsidR="5542864F">
        <w:rPr/>
        <w:t xml:space="preserve"> pode ser avaliada usando técnicas à </w:t>
      </w:r>
      <w:r w:rsidR="5542864F">
        <w:rPr/>
        <w:t>beira</w:t>
      </w:r>
      <w:r w:rsidR="5542864F">
        <w:rPr/>
        <w:t xml:space="preserve"> do </w:t>
      </w:r>
      <w:r w:rsidR="5542864F">
        <w:rPr/>
        <w:t>leito</w:t>
      </w:r>
      <w:r w:rsidR="5542864F">
        <w:rPr/>
        <w:t xml:space="preserve">, </w:t>
      </w:r>
      <w:r w:rsidR="5542864F">
        <w:rPr/>
        <w:t>incluindo</w:t>
      </w:r>
      <w:r w:rsidR="5542864F">
        <w:rPr/>
        <w:t xml:space="preserve"> </w:t>
      </w:r>
      <w:r w:rsidR="5542864F">
        <w:rPr/>
        <w:t>análise</w:t>
      </w:r>
      <w:r w:rsidR="5542864F">
        <w:rPr/>
        <w:t xml:space="preserve"> de forma de onda arterial, </w:t>
      </w:r>
      <w:r w:rsidR="5542864F">
        <w:rPr/>
        <w:t>avaliação</w:t>
      </w:r>
      <w:r w:rsidR="5542864F">
        <w:rPr/>
        <w:t xml:space="preserve"> POCUS da </w:t>
      </w:r>
      <w:r w:rsidR="5542864F">
        <w:rPr/>
        <w:t>variação</w:t>
      </w:r>
      <w:r w:rsidR="5542864F">
        <w:rPr/>
        <w:t xml:space="preserve"> </w:t>
      </w:r>
      <w:r w:rsidR="5542864F">
        <w:rPr/>
        <w:t>respiratória</w:t>
      </w:r>
      <w:r w:rsidR="5542864F">
        <w:rPr/>
        <w:t xml:space="preserve"> da </w:t>
      </w:r>
      <w:r w:rsidR="5542864F">
        <w:rPr/>
        <w:t>veia</w:t>
      </w:r>
      <w:r w:rsidR="5542864F">
        <w:rPr/>
        <w:t xml:space="preserve"> cava inferior (que </w:t>
      </w:r>
      <w:r w:rsidR="5542864F">
        <w:rPr/>
        <w:t>tem</w:t>
      </w:r>
      <w:r w:rsidR="5542864F">
        <w:rPr/>
        <w:t xml:space="preserve"> </w:t>
      </w:r>
      <w:r w:rsidR="5542864F">
        <w:rPr/>
        <w:t>precisão</w:t>
      </w:r>
      <w:r w:rsidR="5542864F">
        <w:rPr/>
        <w:t xml:space="preserve"> </w:t>
      </w:r>
      <w:r w:rsidR="5542864F">
        <w:rPr/>
        <w:t>variável</w:t>
      </w:r>
      <w:r w:rsidR="5542864F">
        <w:rPr/>
        <w:t xml:space="preserve">) e </w:t>
      </w:r>
      <w:r w:rsidR="5542864F">
        <w:rPr/>
        <w:t>elevação</w:t>
      </w:r>
      <w:r w:rsidR="5542864F">
        <w:rPr/>
        <w:t xml:space="preserve"> </w:t>
      </w:r>
      <w:r w:rsidR="5542864F">
        <w:rPr/>
        <w:t>passiva</w:t>
      </w:r>
      <w:r w:rsidR="5542864F">
        <w:rPr/>
        <w:t xml:space="preserve"> das pernas.</w:t>
      </w:r>
    </w:p>
    <w:p w:rsidR="3045E523" w:rsidP="3045E523" w:rsidRDefault="3045E523" w14:paraId="71529E18" w14:textId="4F7BDE7B">
      <w:pPr>
        <w:pStyle w:val="Normal"/>
      </w:pPr>
    </w:p>
    <w:tbl>
      <w:tblPr>
        <w:tblStyle w:val="TableGrid"/>
        <w:tblW w:w="0" w:type="auto"/>
        <w:tblLayout w:type="fixed"/>
        <w:tblLook w:val="06A0" w:firstRow="1" w:lastRow="0" w:firstColumn="1" w:lastColumn="0" w:noHBand="1" w:noVBand="1"/>
      </w:tblPr>
      <w:tblGrid>
        <w:gridCol w:w="3255"/>
        <w:gridCol w:w="5760"/>
      </w:tblGrid>
      <w:tr w:rsidR="3045E523" w:rsidTr="3045E523" w14:paraId="6DB50963">
        <w:trPr>
          <w:trHeight w:val="300"/>
        </w:trPr>
        <w:tc>
          <w:tcPr>
            <w:tcW w:w="3255" w:type="dxa"/>
            <w:shd w:val="clear" w:color="auto" w:fill="A8D08D" w:themeFill="accent6" w:themeFillTint="99"/>
            <w:tcMar/>
          </w:tcPr>
          <w:p w:rsidR="3045E523" w:rsidP="3045E523" w:rsidRDefault="3045E523" w14:paraId="4B79DF05" w14:textId="5777C10A">
            <w:pPr>
              <w:pStyle w:val="Normal"/>
            </w:pPr>
          </w:p>
        </w:tc>
        <w:tc>
          <w:tcPr>
            <w:tcW w:w="5760" w:type="dxa"/>
            <w:shd w:val="clear" w:color="auto" w:fill="A8D08D" w:themeFill="accent6" w:themeFillTint="99"/>
            <w:tcMar/>
          </w:tcPr>
          <w:p w:rsidR="405A7AC2" w:rsidP="3045E523" w:rsidRDefault="405A7AC2" w14:paraId="1363F853" w14:textId="40539F63">
            <w:pPr>
              <w:pStyle w:val="Normal"/>
            </w:pPr>
            <w:r w:rsidR="405A7AC2">
              <w:rPr/>
              <w:t>Otimização da Hipotensão</w:t>
            </w:r>
          </w:p>
        </w:tc>
      </w:tr>
      <w:tr w:rsidR="3045E523" w:rsidTr="3045E523" w14:paraId="7A8852C3">
        <w:trPr>
          <w:trHeight w:val="300"/>
        </w:trPr>
        <w:tc>
          <w:tcPr>
            <w:tcW w:w="3255" w:type="dxa"/>
            <w:tcMar/>
          </w:tcPr>
          <w:p w:rsidR="405A7AC2" w:rsidP="3045E523" w:rsidRDefault="405A7AC2" w14:paraId="2694EC86" w14:textId="45CC30F0">
            <w:pPr>
              <w:ind w:left="-20" w:right="-20"/>
              <w:rPr>
                <w:rFonts w:ascii="Calibri" w:hAnsi="Calibri" w:eastAsia="Calibri" w:cs="Calibri"/>
                <w:noProof w:val="0"/>
                <w:sz w:val="22"/>
                <w:szCs w:val="22"/>
                <w:lang w:val="es-ES"/>
              </w:rPr>
            </w:pPr>
            <w:r w:rsidRPr="3045E523" w:rsidR="405A7AC2">
              <w:rPr>
                <w:rFonts w:ascii="Calibri" w:hAnsi="Calibri" w:eastAsia="Calibri" w:cs="Calibri"/>
                <w:noProof w:val="0"/>
                <w:sz w:val="22"/>
                <w:szCs w:val="22"/>
                <w:lang w:val="es-ES"/>
              </w:rPr>
              <w:t>Administração</w:t>
            </w:r>
            <w:r w:rsidRPr="3045E523" w:rsidR="405A7AC2">
              <w:rPr>
                <w:rFonts w:ascii="Calibri" w:hAnsi="Calibri" w:eastAsia="Calibri" w:cs="Calibri"/>
                <w:noProof w:val="0"/>
                <w:sz w:val="22"/>
                <w:szCs w:val="22"/>
                <w:lang w:val="es-ES"/>
              </w:rPr>
              <w:t xml:space="preserve"> de </w:t>
            </w:r>
            <w:r w:rsidRPr="3045E523" w:rsidR="405A7AC2">
              <w:rPr>
                <w:rFonts w:ascii="Calibri" w:hAnsi="Calibri" w:eastAsia="Calibri" w:cs="Calibri"/>
                <w:noProof w:val="0"/>
                <w:sz w:val="22"/>
                <w:szCs w:val="22"/>
                <w:lang w:val="es-ES"/>
              </w:rPr>
              <w:t>volume</w:t>
            </w:r>
          </w:p>
        </w:tc>
        <w:tc>
          <w:tcPr>
            <w:tcW w:w="5760" w:type="dxa"/>
            <w:tcMar/>
          </w:tcPr>
          <w:p w:rsidR="0AF35396" w:rsidP="3045E523" w:rsidRDefault="0AF35396" w14:paraId="7CD197AA" w14:textId="0E9C4D52">
            <w:pPr>
              <w:pStyle w:val="Normal"/>
            </w:pPr>
            <w:r w:rsidRPr="3045E523" w:rsidR="0AF35396">
              <w:rPr>
                <w:rFonts w:ascii="Calibri" w:hAnsi="Calibri" w:eastAsia="Calibri" w:cs="Calibri"/>
                <w:noProof w:val="0"/>
                <w:sz w:val="22"/>
                <w:szCs w:val="22"/>
                <w:lang w:val="es-ES"/>
              </w:rPr>
              <w:t>Administração de volume ad hoc não é benéfica Avaliação clínica do estado de volume e administração de fluido intravenoso para pacientes responsivos ao volume é justificada.</w:t>
            </w:r>
          </w:p>
        </w:tc>
      </w:tr>
      <w:tr w:rsidR="3045E523" w:rsidTr="3045E523" w14:paraId="13092B09">
        <w:trPr>
          <w:trHeight w:val="300"/>
        </w:trPr>
        <w:tc>
          <w:tcPr>
            <w:tcW w:w="3255" w:type="dxa"/>
            <w:tcMar/>
          </w:tcPr>
          <w:p w:rsidR="405A7AC2" w:rsidP="3045E523" w:rsidRDefault="405A7AC2" w14:paraId="4E138429" w14:textId="69892FA8">
            <w:pPr>
              <w:ind w:left="-20" w:right="-20"/>
            </w:pPr>
            <w:r w:rsidRPr="3045E523" w:rsidR="405A7AC2">
              <w:rPr>
                <w:rFonts w:ascii="Calibri" w:hAnsi="Calibri" w:eastAsia="Calibri" w:cs="Calibri"/>
                <w:noProof w:val="0"/>
                <w:sz w:val="22"/>
                <w:szCs w:val="22"/>
                <w:lang w:val="es-ES"/>
              </w:rPr>
              <w:t xml:space="preserve">Suporte </w:t>
            </w:r>
            <w:r w:rsidRPr="3045E523" w:rsidR="405A7AC2">
              <w:rPr>
                <w:rFonts w:ascii="Calibri" w:hAnsi="Calibri" w:eastAsia="Calibri" w:cs="Calibri"/>
                <w:noProof w:val="0"/>
                <w:sz w:val="22"/>
                <w:szCs w:val="22"/>
                <w:lang w:val="es-ES"/>
              </w:rPr>
              <w:t>vasopressor</w:t>
            </w:r>
            <w:r w:rsidRPr="3045E523" w:rsidR="405A7AC2">
              <w:rPr>
                <w:rFonts w:ascii="Calibri" w:hAnsi="Calibri" w:eastAsia="Calibri" w:cs="Calibri"/>
                <w:noProof w:val="0"/>
                <w:sz w:val="22"/>
                <w:szCs w:val="22"/>
                <w:lang w:val="es-ES"/>
              </w:rPr>
              <w:t xml:space="preserve"> e inotrópico</w:t>
            </w:r>
          </w:p>
        </w:tc>
        <w:tc>
          <w:tcPr>
            <w:tcW w:w="5760" w:type="dxa"/>
            <w:tcMar/>
          </w:tcPr>
          <w:p w:rsidR="6EC0F57A" w:rsidP="3045E523" w:rsidRDefault="6EC0F57A" w14:paraId="009F1B65" w14:textId="4DA4C60A">
            <w:pPr>
              <w:pStyle w:val="Normal"/>
            </w:pPr>
            <w:r w:rsidRPr="3045E523" w:rsidR="6EC0F57A">
              <w:rPr>
                <w:rFonts w:ascii="Calibri" w:hAnsi="Calibri" w:eastAsia="Calibri" w:cs="Calibri"/>
                <w:noProof w:val="0"/>
                <w:sz w:val="22"/>
                <w:szCs w:val="22"/>
                <w:lang w:val="es-ES"/>
              </w:rPr>
              <w:t>Infusões de vasopressores e/ou inotrópicos e doses em bolus devem estar imediatamente disponíveis ao intubar o paciente gravemente doente. A seleção de agentes específicos deve ser personalizada de acordo com a apresentação do paciente.</w:t>
            </w:r>
          </w:p>
        </w:tc>
      </w:tr>
      <w:tr w:rsidR="3045E523" w:rsidTr="3045E523" w14:paraId="500EF173">
        <w:trPr>
          <w:trHeight w:val="300"/>
        </w:trPr>
        <w:tc>
          <w:tcPr>
            <w:tcW w:w="3255" w:type="dxa"/>
            <w:tcMar/>
          </w:tcPr>
          <w:p w:rsidR="405A7AC2" w:rsidP="3045E523" w:rsidRDefault="405A7AC2" w14:paraId="6762DA54" w14:textId="7A9D30E2">
            <w:pPr>
              <w:ind w:left="-20" w:right="-20"/>
              <w:rPr>
                <w:rFonts w:ascii="Calibri" w:hAnsi="Calibri" w:eastAsia="Calibri" w:cs="Calibri"/>
                <w:noProof w:val="0"/>
                <w:sz w:val="22"/>
                <w:szCs w:val="22"/>
                <w:lang w:val="es-ES"/>
              </w:rPr>
            </w:pPr>
            <w:r w:rsidRPr="3045E523" w:rsidR="405A7AC2">
              <w:rPr>
                <w:rFonts w:ascii="Calibri" w:hAnsi="Calibri" w:eastAsia="Calibri" w:cs="Calibri"/>
                <w:noProof w:val="0"/>
                <w:sz w:val="22"/>
                <w:szCs w:val="22"/>
                <w:lang w:val="es-ES"/>
              </w:rPr>
              <w:t xml:space="preserve">Agente de </w:t>
            </w:r>
            <w:r w:rsidRPr="3045E523" w:rsidR="405A7AC2">
              <w:rPr>
                <w:rFonts w:ascii="Calibri" w:hAnsi="Calibri" w:eastAsia="Calibri" w:cs="Calibri"/>
                <w:noProof w:val="0"/>
                <w:sz w:val="22"/>
                <w:szCs w:val="22"/>
                <w:lang w:val="es-ES"/>
              </w:rPr>
              <w:t>indução</w:t>
            </w:r>
          </w:p>
        </w:tc>
        <w:tc>
          <w:tcPr>
            <w:tcW w:w="5760" w:type="dxa"/>
            <w:tcMar/>
          </w:tcPr>
          <w:p w:rsidR="380AB63F" w:rsidP="3045E523" w:rsidRDefault="380AB63F" w14:paraId="44C1AE46" w14:textId="26A410EA">
            <w:pPr>
              <w:pStyle w:val="Normal"/>
            </w:pPr>
            <w:r w:rsidRPr="3045E523" w:rsidR="380AB63F">
              <w:rPr>
                <w:rFonts w:ascii="Calibri" w:hAnsi="Calibri" w:eastAsia="Calibri" w:cs="Calibri"/>
                <w:noProof w:val="0"/>
                <w:sz w:val="22"/>
                <w:szCs w:val="22"/>
                <w:lang w:val="es-ES"/>
              </w:rPr>
              <w:t>O propofol é independentemente associado à instabilidade hemodinâmica na intubação de emergência. Falta de evidência definitiva para a superioridade da cetamina ou etomidato quando comparados diretamente. O agente de indução deve ser escolhido e dosado com base no conforto do clínico e nos fatores do paciente.</w:t>
            </w:r>
          </w:p>
        </w:tc>
      </w:tr>
      <w:tr w:rsidR="3045E523" w:rsidTr="3045E523" w14:paraId="191EF9B4">
        <w:trPr>
          <w:trHeight w:val="300"/>
        </w:trPr>
        <w:tc>
          <w:tcPr>
            <w:tcW w:w="3255" w:type="dxa"/>
            <w:tcMar/>
          </w:tcPr>
          <w:p w:rsidR="405A7AC2" w:rsidP="3045E523" w:rsidRDefault="405A7AC2" w14:paraId="6E4F9B9B" w14:textId="2A82ED04">
            <w:pPr>
              <w:ind w:left="-20" w:right="-20"/>
              <w:rPr>
                <w:rFonts w:ascii="Calibri" w:hAnsi="Calibri" w:eastAsia="Calibri" w:cs="Calibri"/>
                <w:noProof w:val="0"/>
                <w:sz w:val="22"/>
                <w:szCs w:val="22"/>
                <w:lang w:val="es-ES"/>
              </w:rPr>
            </w:pPr>
            <w:r w:rsidRPr="3045E523" w:rsidR="405A7AC2">
              <w:rPr>
                <w:rFonts w:ascii="Calibri" w:hAnsi="Calibri" w:eastAsia="Calibri" w:cs="Calibri"/>
                <w:noProof w:val="0"/>
                <w:sz w:val="22"/>
                <w:szCs w:val="22"/>
                <w:lang w:val="es-ES"/>
              </w:rPr>
              <w:t>Ultrassom</w:t>
            </w:r>
            <w:r w:rsidRPr="3045E523" w:rsidR="405A7AC2">
              <w:rPr>
                <w:rFonts w:ascii="Calibri" w:hAnsi="Calibri" w:eastAsia="Calibri" w:cs="Calibri"/>
                <w:noProof w:val="0"/>
                <w:sz w:val="22"/>
                <w:szCs w:val="22"/>
                <w:lang w:val="es-ES"/>
              </w:rPr>
              <w:t xml:space="preserve"> à </w:t>
            </w:r>
            <w:r w:rsidRPr="3045E523" w:rsidR="405A7AC2">
              <w:rPr>
                <w:rFonts w:ascii="Calibri" w:hAnsi="Calibri" w:eastAsia="Calibri" w:cs="Calibri"/>
                <w:noProof w:val="0"/>
                <w:sz w:val="22"/>
                <w:szCs w:val="22"/>
                <w:lang w:val="es-ES"/>
              </w:rPr>
              <w:t>beira</w:t>
            </w:r>
            <w:r w:rsidRPr="3045E523" w:rsidR="405A7AC2">
              <w:rPr>
                <w:rFonts w:ascii="Calibri" w:hAnsi="Calibri" w:eastAsia="Calibri" w:cs="Calibri"/>
                <w:noProof w:val="0"/>
                <w:sz w:val="22"/>
                <w:szCs w:val="22"/>
                <w:lang w:val="es-ES"/>
              </w:rPr>
              <w:t xml:space="preserve"> do </w:t>
            </w:r>
            <w:r w:rsidRPr="3045E523" w:rsidR="405A7AC2">
              <w:rPr>
                <w:rFonts w:ascii="Calibri" w:hAnsi="Calibri" w:eastAsia="Calibri" w:cs="Calibri"/>
                <w:noProof w:val="0"/>
                <w:sz w:val="22"/>
                <w:szCs w:val="22"/>
                <w:lang w:val="es-ES"/>
              </w:rPr>
              <w:t>leito</w:t>
            </w:r>
          </w:p>
        </w:tc>
        <w:tc>
          <w:tcPr>
            <w:tcW w:w="5760" w:type="dxa"/>
            <w:tcMar/>
          </w:tcPr>
          <w:p w:rsidR="6A2818E8" w:rsidP="3045E523" w:rsidRDefault="6A2818E8" w14:paraId="1B9EF162" w14:textId="47DB2A68">
            <w:pPr>
              <w:pStyle w:val="Normal"/>
            </w:pPr>
            <w:r w:rsidRPr="3045E523" w:rsidR="6A2818E8">
              <w:rPr>
                <w:rFonts w:ascii="Calibri" w:hAnsi="Calibri" w:eastAsia="Calibri" w:cs="Calibri"/>
                <w:noProof w:val="0"/>
                <w:sz w:val="22"/>
                <w:szCs w:val="22"/>
                <w:lang w:val="es-ES"/>
              </w:rPr>
              <w:t>Pode ajudar a guiar esforços de reanimação peri-intubação e otimização hemodinâmica.</w:t>
            </w:r>
          </w:p>
        </w:tc>
      </w:tr>
    </w:tbl>
    <w:p w:rsidR="5542864F" w:rsidP="3045E523" w:rsidRDefault="5542864F" w14:paraId="7664B77F" w14:textId="753773C6">
      <w:pPr>
        <w:pStyle w:val="Normal"/>
      </w:pPr>
      <w:r w:rsidR="5542864F">
        <w:rPr/>
        <w:t>Tabela</w:t>
      </w:r>
      <w:r w:rsidR="5542864F">
        <w:rPr/>
        <w:t xml:space="preserve"> 2. Resumo das </w:t>
      </w:r>
      <w:r w:rsidR="5542864F">
        <w:rPr/>
        <w:t>Recomendações</w:t>
      </w:r>
      <w:r w:rsidR="5542864F">
        <w:rPr/>
        <w:t xml:space="preserve"> para </w:t>
      </w:r>
      <w:r w:rsidR="5542864F">
        <w:rPr/>
        <w:t>Otimização</w:t>
      </w:r>
      <w:r w:rsidR="5542864F">
        <w:rPr/>
        <w:t xml:space="preserve"> Peri-</w:t>
      </w:r>
      <w:r w:rsidR="5542864F">
        <w:rPr/>
        <w:t>Intubação</w:t>
      </w:r>
      <w:r w:rsidR="5542864F">
        <w:rPr/>
        <w:t xml:space="preserve"> do Paciente Hipotenso</w:t>
      </w:r>
    </w:p>
    <w:p w:rsidR="67273EEF" w:rsidP="3045E523" w:rsidRDefault="67273EEF" w14:paraId="16E4DC8B" w14:textId="56AC7D9F">
      <w:pPr>
        <w:ind w:left="-20" w:right="-20"/>
      </w:pPr>
      <w:r w:rsidRPr="3045E523" w:rsidR="67273EEF">
        <w:rPr>
          <w:rFonts w:ascii="Calibri" w:hAnsi="Calibri" w:eastAsia="Calibri" w:cs="Calibri"/>
          <w:noProof w:val="0"/>
          <w:sz w:val="22"/>
          <w:szCs w:val="22"/>
          <w:lang w:val="es-ES"/>
        </w:rPr>
        <w:t>Suporte Vasopressor e Inotrópico Em pacientes hipotensos não responsivos ou intolerantes à administração de fluidos, são recomendadas infusões profiláticas de vasopressores e/ou inotrópicos. Quando não for possível iniciar infusões, vasopressores ou inotrópicos em doses em bolus devem estar imediatamente disponíveis e ser usados para suportar a hemodinâmica durante a TI. A escolha do(s) agente(s) deve ser personalizada para o paciente individual e a etiologia da hipotensão suspeita.</w:t>
      </w:r>
    </w:p>
    <w:p w:rsidR="67273EEF" w:rsidP="3045E523" w:rsidRDefault="67273EEF" w14:paraId="7553FD65" w14:textId="7271E020">
      <w:pPr>
        <w:ind w:left="-20" w:right="-20"/>
      </w:pPr>
      <w:r w:rsidRPr="3045E523" w:rsidR="67273EEF">
        <w:rPr>
          <w:rFonts w:ascii="Calibri" w:hAnsi="Calibri" w:eastAsia="Calibri" w:cs="Calibri"/>
          <w:noProof w:val="0"/>
          <w:sz w:val="22"/>
          <w:szCs w:val="22"/>
          <w:lang w:val="es-ES"/>
        </w:rPr>
        <w:t>Escolha do Agente de Indução A maioria dos agentes de indução anestésica pode piorar agudamente a hipotensão em pacientes gravemente doentes. Propofol e benzodiazepinas levam à depressão miocárdica e vasodilatação, e a administração de propofol foi associada independentemente com instabilidade hemodinâmica em TI de emergência. Alternativas incluem cetamina e etomidato, embora cada um tenha suas ressalvas. A literatura é mista em relação à segurança do etomidato. Existem preocupações sobre a supressão adrenal em pacientes sépticos; no entanto, alguns estudos não mostraram prejuízo quando usado exclusivamente para indução. Cetamina e etomidato foram comparados diretamente, com alguns estudos mostrando taxas de complicação geral semelhantes. O estudo Etomidato Versus Cetamina mostrou que pacientes induzidos com etomidato tinham um risco maior de mortalidade em 7 dias em comparação com cetamina, mas o risco convergiu para mortalidade geral semelhante no dia 28. Curiosamente, cetamina teve uma associação maior com colapso cardiovascular pós-indução (25%) em comparação com etomidato (17,4%), uma diferença de 7,6% (intervalo de confiança de 95%: 2%-13%). Cetamina também está associada a laringoespasmo, secreções das vias aéreas, depressão miocárdica, isquemia miocárdica e parada cardíaca. Em última análise, dada a falta de evidência definitiva, a escolha do agente de indução deve ser baseada no nível de conforto do clínico e nas condições do paciente individual.</w:t>
      </w:r>
    </w:p>
    <w:p w:rsidR="67273EEF" w:rsidP="3045E523" w:rsidRDefault="67273EEF" w14:paraId="41220D31" w14:textId="6377AFCC">
      <w:pPr>
        <w:ind w:left="-20" w:right="-20"/>
        <w:rPr>
          <w:rFonts w:ascii="Calibri" w:hAnsi="Calibri" w:eastAsia="Calibri" w:cs="Calibri"/>
          <w:noProof w:val="0"/>
          <w:sz w:val="22"/>
          <w:szCs w:val="22"/>
          <w:lang w:val="es-ES"/>
        </w:rPr>
      </w:pPr>
      <w:r w:rsidRPr="3045E523" w:rsidR="67273EEF">
        <w:rPr>
          <w:rFonts w:ascii="Calibri" w:hAnsi="Calibri" w:eastAsia="Calibri" w:cs="Calibri"/>
          <w:noProof w:val="0"/>
          <w:sz w:val="22"/>
          <w:szCs w:val="22"/>
          <w:lang w:val="es-ES"/>
        </w:rPr>
        <w:t xml:space="preserve">ULTRASSOM À BEIRA DO LEITO POCUS </w:t>
      </w:r>
      <w:r w:rsidRPr="3045E523" w:rsidR="67273EEF">
        <w:rPr>
          <w:rFonts w:ascii="Calibri" w:hAnsi="Calibri" w:eastAsia="Calibri" w:cs="Calibri"/>
          <w:noProof w:val="0"/>
          <w:sz w:val="22"/>
          <w:szCs w:val="22"/>
          <w:lang w:val="es-ES"/>
        </w:rPr>
        <w:t xml:space="preserve">pode ser útil para identificar </w:t>
      </w:r>
      <w:r w:rsidRPr="3045E523" w:rsidR="67273EEF">
        <w:rPr>
          <w:rFonts w:ascii="Calibri" w:hAnsi="Calibri" w:eastAsia="Calibri" w:cs="Calibri"/>
          <w:noProof w:val="0"/>
          <w:sz w:val="22"/>
          <w:szCs w:val="22"/>
          <w:lang w:val="es-ES"/>
        </w:rPr>
        <w:t>variáveis</w:t>
      </w:r>
      <w:r w:rsidRPr="3045E523" w:rsidR="67273EEF">
        <w:rPr>
          <w:rFonts w:ascii="Calibri" w:hAnsi="Calibri" w:eastAsia="Calibri" w:cs="Calibri"/>
          <w:noProof w:val="0"/>
          <w:sz w:val="22"/>
          <w:szCs w:val="22"/>
          <w:lang w:val="es-ES"/>
        </w:rPr>
        <w:t xml:space="preserve"> fisiológicas importantes em pacientes hipotensos, </w:t>
      </w:r>
      <w:r w:rsidRPr="3045E523" w:rsidR="67273EEF">
        <w:rPr>
          <w:rFonts w:ascii="Calibri" w:hAnsi="Calibri" w:eastAsia="Calibri" w:cs="Calibri"/>
          <w:noProof w:val="0"/>
          <w:sz w:val="22"/>
          <w:szCs w:val="22"/>
          <w:lang w:val="es-ES"/>
        </w:rPr>
        <w:t>incluindo</w:t>
      </w:r>
      <w:r w:rsidRPr="3045E523" w:rsidR="67273EEF">
        <w:rPr>
          <w:rFonts w:ascii="Calibri" w:hAnsi="Calibri" w:eastAsia="Calibri" w:cs="Calibri"/>
          <w:noProof w:val="0"/>
          <w:sz w:val="22"/>
          <w:szCs w:val="22"/>
          <w:lang w:val="es-ES"/>
        </w:rPr>
        <w:t xml:space="preserve"> a </w:t>
      </w:r>
      <w:r w:rsidRPr="3045E523" w:rsidR="67273EEF">
        <w:rPr>
          <w:rFonts w:ascii="Calibri" w:hAnsi="Calibri" w:eastAsia="Calibri" w:cs="Calibri"/>
          <w:noProof w:val="0"/>
          <w:sz w:val="22"/>
          <w:szCs w:val="22"/>
          <w:lang w:val="es-ES"/>
        </w:rPr>
        <w:t>presença</w:t>
      </w:r>
      <w:r w:rsidRPr="3045E523" w:rsidR="67273EEF">
        <w:rPr>
          <w:rFonts w:ascii="Calibri" w:hAnsi="Calibri" w:eastAsia="Calibri" w:cs="Calibri"/>
          <w:noProof w:val="0"/>
          <w:sz w:val="22"/>
          <w:szCs w:val="22"/>
          <w:lang w:val="es-ES"/>
        </w:rPr>
        <w:t xml:space="preserve"> de </w:t>
      </w:r>
      <w:r w:rsidRPr="3045E523" w:rsidR="67273EEF">
        <w:rPr>
          <w:rFonts w:ascii="Calibri" w:hAnsi="Calibri" w:eastAsia="Calibri" w:cs="Calibri"/>
          <w:noProof w:val="0"/>
          <w:sz w:val="22"/>
          <w:szCs w:val="22"/>
          <w:lang w:val="es-ES"/>
        </w:rPr>
        <w:t>disfunção</w:t>
      </w:r>
      <w:r w:rsidRPr="3045E523" w:rsidR="67273EEF">
        <w:rPr>
          <w:rFonts w:ascii="Calibri" w:hAnsi="Calibri" w:eastAsia="Calibri" w:cs="Calibri"/>
          <w:noProof w:val="0"/>
          <w:sz w:val="22"/>
          <w:szCs w:val="22"/>
          <w:lang w:val="es-ES"/>
        </w:rPr>
        <w:t xml:space="preserve"> do ventrículo </w:t>
      </w:r>
      <w:r w:rsidRPr="3045E523" w:rsidR="67273EEF">
        <w:rPr>
          <w:rFonts w:ascii="Calibri" w:hAnsi="Calibri" w:eastAsia="Calibri" w:cs="Calibri"/>
          <w:noProof w:val="0"/>
          <w:sz w:val="22"/>
          <w:szCs w:val="22"/>
          <w:lang w:val="es-ES"/>
        </w:rPr>
        <w:t>esquerdo</w:t>
      </w:r>
      <w:r w:rsidRPr="3045E523" w:rsidR="67273EEF">
        <w:rPr>
          <w:rFonts w:ascii="Calibri" w:hAnsi="Calibri" w:eastAsia="Calibri" w:cs="Calibri"/>
          <w:noProof w:val="0"/>
          <w:sz w:val="22"/>
          <w:szCs w:val="22"/>
          <w:lang w:val="es-ES"/>
        </w:rPr>
        <w:t xml:space="preserve"> (VE) e/</w:t>
      </w:r>
      <w:r w:rsidRPr="3045E523" w:rsidR="67273EEF">
        <w:rPr>
          <w:rFonts w:ascii="Calibri" w:hAnsi="Calibri" w:eastAsia="Calibri" w:cs="Calibri"/>
          <w:noProof w:val="0"/>
          <w:sz w:val="22"/>
          <w:szCs w:val="22"/>
          <w:lang w:val="es-ES"/>
        </w:rPr>
        <w:t>ou</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direito</w:t>
      </w:r>
      <w:r w:rsidRPr="3045E523" w:rsidR="67273EEF">
        <w:rPr>
          <w:rFonts w:ascii="Calibri" w:hAnsi="Calibri" w:eastAsia="Calibri" w:cs="Calibri"/>
          <w:noProof w:val="0"/>
          <w:sz w:val="22"/>
          <w:szCs w:val="22"/>
          <w:lang w:val="es-ES"/>
        </w:rPr>
        <w:t xml:space="preserve"> (VD), anormalidades valvulares significativas, derrame pericárdico e </w:t>
      </w:r>
      <w:r w:rsidRPr="3045E523" w:rsidR="67273EEF">
        <w:rPr>
          <w:rFonts w:ascii="Calibri" w:hAnsi="Calibri" w:eastAsia="Calibri" w:cs="Calibri"/>
          <w:noProof w:val="0"/>
          <w:sz w:val="22"/>
          <w:szCs w:val="22"/>
          <w:lang w:val="es-ES"/>
        </w:rPr>
        <w:t>responsividade</w:t>
      </w:r>
      <w:r w:rsidRPr="3045E523" w:rsidR="67273EEF">
        <w:rPr>
          <w:rFonts w:ascii="Calibri" w:hAnsi="Calibri" w:eastAsia="Calibri" w:cs="Calibri"/>
          <w:noProof w:val="0"/>
          <w:sz w:val="22"/>
          <w:szCs w:val="22"/>
          <w:lang w:val="es-ES"/>
        </w:rPr>
        <w:t>/</w:t>
      </w:r>
      <w:r w:rsidRPr="3045E523" w:rsidR="67273EEF">
        <w:rPr>
          <w:rFonts w:ascii="Calibri" w:hAnsi="Calibri" w:eastAsia="Calibri" w:cs="Calibri"/>
          <w:noProof w:val="0"/>
          <w:sz w:val="22"/>
          <w:szCs w:val="22"/>
          <w:lang w:val="es-ES"/>
        </w:rPr>
        <w:t>tolerância</w:t>
      </w:r>
      <w:r w:rsidRPr="3045E523" w:rsidR="67273EEF">
        <w:rPr>
          <w:rFonts w:ascii="Calibri" w:hAnsi="Calibri" w:eastAsia="Calibri" w:cs="Calibri"/>
          <w:noProof w:val="0"/>
          <w:sz w:val="22"/>
          <w:szCs w:val="22"/>
          <w:lang w:val="es-ES"/>
        </w:rPr>
        <w:t xml:space="preserve"> a fluidos. </w:t>
      </w:r>
      <w:r w:rsidRPr="3045E523" w:rsidR="67273EEF">
        <w:rPr>
          <w:rFonts w:ascii="Calibri" w:hAnsi="Calibri" w:eastAsia="Calibri" w:cs="Calibri"/>
          <w:noProof w:val="0"/>
          <w:sz w:val="22"/>
          <w:szCs w:val="22"/>
          <w:lang w:val="es-ES"/>
        </w:rPr>
        <w:t>Essas</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informações</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podem</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ajudar</w:t>
      </w:r>
      <w:r w:rsidRPr="3045E523" w:rsidR="67273EEF">
        <w:rPr>
          <w:rFonts w:ascii="Calibri" w:hAnsi="Calibri" w:eastAsia="Calibri" w:cs="Calibri"/>
          <w:noProof w:val="0"/>
          <w:sz w:val="22"/>
          <w:szCs w:val="22"/>
          <w:lang w:val="es-ES"/>
        </w:rPr>
        <w:t xml:space="preserve"> a guiar </w:t>
      </w:r>
      <w:r w:rsidRPr="3045E523" w:rsidR="67273EEF">
        <w:rPr>
          <w:rFonts w:ascii="Calibri" w:hAnsi="Calibri" w:eastAsia="Calibri" w:cs="Calibri"/>
          <w:noProof w:val="0"/>
          <w:sz w:val="22"/>
          <w:szCs w:val="22"/>
          <w:lang w:val="es-ES"/>
        </w:rPr>
        <w:t>esforços</w:t>
      </w:r>
      <w:r w:rsidRPr="3045E523" w:rsidR="67273EEF">
        <w:rPr>
          <w:rFonts w:ascii="Calibri" w:hAnsi="Calibri" w:eastAsia="Calibri" w:cs="Calibri"/>
          <w:noProof w:val="0"/>
          <w:sz w:val="22"/>
          <w:szCs w:val="22"/>
          <w:lang w:val="es-ES"/>
        </w:rPr>
        <w:t xml:space="preserve"> de </w:t>
      </w:r>
      <w:r w:rsidRPr="3045E523" w:rsidR="67273EEF">
        <w:rPr>
          <w:rFonts w:ascii="Calibri" w:hAnsi="Calibri" w:eastAsia="Calibri" w:cs="Calibri"/>
          <w:noProof w:val="0"/>
          <w:sz w:val="22"/>
          <w:szCs w:val="22"/>
          <w:lang w:val="es-ES"/>
        </w:rPr>
        <w:t>ressuscitação</w:t>
      </w:r>
      <w:r w:rsidRPr="3045E523" w:rsidR="67273EEF">
        <w:rPr>
          <w:rFonts w:ascii="Calibri" w:hAnsi="Calibri" w:eastAsia="Calibri" w:cs="Calibri"/>
          <w:noProof w:val="0"/>
          <w:sz w:val="22"/>
          <w:szCs w:val="22"/>
          <w:lang w:val="es-ES"/>
        </w:rPr>
        <w:t xml:space="preserve"> peri-TI.</w:t>
      </w:r>
    </w:p>
    <w:p w:rsidR="67273EEF" w:rsidP="3045E523" w:rsidRDefault="67273EEF" w14:paraId="12D1F952" w14:textId="32AE2F80">
      <w:pPr>
        <w:ind w:left="-20" w:right="-20"/>
      </w:pPr>
      <w:r w:rsidRPr="3045E523" w:rsidR="67273EEF">
        <w:rPr>
          <w:rFonts w:ascii="Calibri" w:hAnsi="Calibri" w:eastAsia="Calibri" w:cs="Calibri"/>
          <w:noProof w:val="0"/>
          <w:sz w:val="22"/>
          <w:szCs w:val="22"/>
          <w:lang w:val="es-ES"/>
        </w:rPr>
        <w:t xml:space="preserve">ACIDOSE METABÓLICA SEVERA </w:t>
      </w:r>
    </w:p>
    <w:p w:rsidR="67273EEF" w:rsidP="3045E523" w:rsidRDefault="67273EEF" w14:paraId="299DD2AC" w14:textId="1FBF5978">
      <w:pPr>
        <w:ind w:left="-20" w:right="-20"/>
        <w:rPr>
          <w:rFonts w:ascii="Calibri" w:hAnsi="Calibri" w:eastAsia="Calibri" w:cs="Calibri"/>
          <w:noProof w:val="0"/>
          <w:sz w:val="22"/>
          <w:szCs w:val="22"/>
          <w:lang w:val="es-ES"/>
        </w:rPr>
      </w:pPr>
      <w:r w:rsidRPr="3045E523" w:rsidR="67273EEF">
        <w:rPr>
          <w:rFonts w:ascii="Calibri" w:hAnsi="Calibri" w:eastAsia="Calibri" w:cs="Calibri"/>
          <w:noProof w:val="0"/>
          <w:sz w:val="22"/>
          <w:szCs w:val="22"/>
          <w:lang w:val="es-ES"/>
        </w:rPr>
        <w:t>Acidose</w:t>
      </w:r>
      <w:r w:rsidRPr="3045E523" w:rsidR="67273EEF">
        <w:rPr>
          <w:rFonts w:ascii="Calibri" w:hAnsi="Calibri" w:eastAsia="Calibri" w:cs="Calibri"/>
          <w:noProof w:val="0"/>
          <w:sz w:val="22"/>
          <w:szCs w:val="22"/>
          <w:lang w:val="es-ES"/>
        </w:rPr>
        <w:t xml:space="preserve"> severa pode causar </w:t>
      </w:r>
      <w:r w:rsidRPr="3045E523" w:rsidR="67273EEF">
        <w:rPr>
          <w:rFonts w:ascii="Calibri" w:hAnsi="Calibri" w:eastAsia="Calibri" w:cs="Calibri"/>
          <w:noProof w:val="0"/>
          <w:sz w:val="22"/>
          <w:szCs w:val="22"/>
          <w:lang w:val="es-ES"/>
        </w:rPr>
        <w:t>convulsão</w:t>
      </w:r>
      <w:r w:rsidRPr="3045E523" w:rsidR="67273EEF">
        <w:rPr>
          <w:rFonts w:ascii="Calibri" w:hAnsi="Calibri" w:eastAsia="Calibri" w:cs="Calibri"/>
          <w:noProof w:val="0"/>
          <w:sz w:val="22"/>
          <w:szCs w:val="22"/>
          <w:lang w:val="es-ES"/>
        </w:rPr>
        <w:t xml:space="preserve">, coma, arritmia </w:t>
      </w:r>
      <w:r w:rsidRPr="3045E523" w:rsidR="67273EEF">
        <w:rPr>
          <w:rFonts w:ascii="Calibri" w:hAnsi="Calibri" w:eastAsia="Calibri" w:cs="Calibri"/>
          <w:noProof w:val="0"/>
          <w:sz w:val="22"/>
          <w:szCs w:val="22"/>
          <w:lang w:val="es-ES"/>
        </w:rPr>
        <w:t>e</w:t>
      </w:r>
      <w:r w:rsidRPr="3045E523" w:rsidR="67273EEF">
        <w:rPr>
          <w:rFonts w:ascii="Calibri" w:hAnsi="Calibri" w:eastAsia="Calibri" w:cs="Calibri"/>
          <w:noProof w:val="0"/>
          <w:sz w:val="22"/>
          <w:szCs w:val="22"/>
          <w:lang w:val="es-ES"/>
        </w:rPr>
        <w:t xml:space="preserve"> parada cardíaca. O risco é particularmente elevado </w:t>
      </w:r>
      <w:r w:rsidRPr="3045E523" w:rsidR="67273EEF">
        <w:rPr>
          <w:rFonts w:ascii="Calibri" w:hAnsi="Calibri" w:eastAsia="Calibri" w:cs="Calibri"/>
          <w:noProof w:val="0"/>
          <w:sz w:val="22"/>
          <w:szCs w:val="22"/>
          <w:lang w:val="es-ES"/>
        </w:rPr>
        <w:t>com</w:t>
      </w:r>
      <w:r w:rsidRPr="3045E523" w:rsidR="67273EEF">
        <w:rPr>
          <w:rFonts w:ascii="Calibri" w:hAnsi="Calibri" w:eastAsia="Calibri" w:cs="Calibri"/>
          <w:noProof w:val="0"/>
          <w:sz w:val="22"/>
          <w:szCs w:val="22"/>
          <w:lang w:val="es-ES"/>
        </w:rPr>
        <w:t xml:space="preserve"> pH arterial &lt; 7,00. </w:t>
      </w:r>
      <w:r w:rsidRPr="3045E523" w:rsidR="67273EEF">
        <w:rPr>
          <w:rFonts w:ascii="Calibri" w:hAnsi="Calibri" w:eastAsia="Calibri" w:cs="Calibri"/>
          <w:noProof w:val="0"/>
          <w:sz w:val="22"/>
          <w:szCs w:val="22"/>
          <w:lang w:val="es-ES"/>
        </w:rPr>
        <w:t>Enquanto</w:t>
      </w:r>
      <w:r w:rsidRPr="3045E523" w:rsidR="67273EEF">
        <w:rPr>
          <w:rFonts w:ascii="Calibri" w:hAnsi="Calibri" w:eastAsia="Calibri" w:cs="Calibri"/>
          <w:noProof w:val="0"/>
          <w:sz w:val="22"/>
          <w:szCs w:val="22"/>
          <w:lang w:val="es-ES"/>
        </w:rPr>
        <w:t xml:space="preserve"> a </w:t>
      </w:r>
      <w:r w:rsidRPr="3045E523" w:rsidR="67273EEF">
        <w:rPr>
          <w:rFonts w:ascii="Calibri" w:hAnsi="Calibri" w:eastAsia="Calibri" w:cs="Calibri"/>
          <w:noProof w:val="0"/>
          <w:sz w:val="22"/>
          <w:szCs w:val="22"/>
          <w:lang w:val="es-ES"/>
        </w:rPr>
        <w:t>acidose</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respiratória</w:t>
      </w:r>
      <w:r w:rsidRPr="3045E523" w:rsidR="67273EEF">
        <w:rPr>
          <w:rFonts w:ascii="Calibri" w:hAnsi="Calibri" w:eastAsia="Calibri" w:cs="Calibri"/>
          <w:noProof w:val="0"/>
          <w:sz w:val="22"/>
          <w:szCs w:val="22"/>
          <w:lang w:val="es-ES"/>
        </w:rPr>
        <w:t xml:space="preserve"> pode ser </w:t>
      </w:r>
      <w:r w:rsidRPr="3045E523" w:rsidR="67273EEF">
        <w:rPr>
          <w:rFonts w:ascii="Calibri" w:hAnsi="Calibri" w:eastAsia="Calibri" w:cs="Calibri"/>
          <w:noProof w:val="0"/>
          <w:sz w:val="22"/>
          <w:szCs w:val="22"/>
          <w:lang w:val="es-ES"/>
        </w:rPr>
        <w:t>melhorada</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com</w:t>
      </w:r>
      <w:r w:rsidRPr="3045E523" w:rsidR="67273EEF">
        <w:rPr>
          <w:rFonts w:ascii="Calibri" w:hAnsi="Calibri" w:eastAsia="Calibri" w:cs="Calibri"/>
          <w:noProof w:val="0"/>
          <w:sz w:val="22"/>
          <w:szCs w:val="22"/>
          <w:lang w:val="es-ES"/>
        </w:rPr>
        <w:t xml:space="preserve"> aumento da </w:t>
      </w:r>
      <w:r w:rsidRPr="3045E523" w:rsidR="67273EEF">
        <w:rPr>
          <w:rFonts w:ascii="Calibri" w:hAnsi="Calibri" w:eastAsia="Calibri" w:cs="Calibri"/>
          <w:noProof w:val="0"/>
          <w:sz w:val="22"/>
          <w:szCs w:val="22"/>
          <w:lang w:val="es-ES"/>
        </w:rPr>
        <w:t>ventilação</w:t>
      </w:r>
      <w:r w:rsidRPr="3045E523" w:rsidR="67273EEF">
        <w:rPr>
          <w:rFonts w:ascii="Calibri" w:hAnsi="Calibri" w:eastAsia="Calibri" w:cs="Calibri"/>
          <w:noProof w:val="0"/>
          <w:sz w:val="22"/>
          <w:szCs w:val="22"/>
          <w:lang w:val="es-ES"/>
        </w:rPr>
        <w:t xml:space="preserve">, a </w:t>
      </w:r>
      <w:r w:rsidRPr="3045E523" w:rsidR="67273EEF">
        <w:rPr>
          <w:rFonts w:ascii="Calibri" w:hAnsi="Calibri" w:eastAsia="Calibri" w:cs="Calibri"/>
          <w:noProof w:val="0"/>
          <w:sz w:val="22"/>
          <w:szCs w:val="22"/>
          <w:lang w:val="es-ES"/>
        </w:rPr>
        <w:t>acidose</w:t>
      </w:r>
      <w:r w:rsidRPr="3045E523" w:rsidR="67273EEF">
        <w:rPr>
          <w:rFonts w:ascii="Calibri" w:hAnsi="Calibri" w:eastAsia="Calibri" w:cs="Calibri"/>
          <w:noProof w:val="0"/>
          <w:sz w:val="22"/>
          <w:szCs w:val="22"/>
          <w:lang w:val="es-ES"/>
        </w:rPr>
        <w:t xml:space="preserve"> metabólica pode ser severamente </w:t>
      </w:r>
      <w:r w:rsidRPr="3045E523" w:rsidR="67273EEF">
        <w:rPr>
          <w:rFonts w:ascii="Calibri" w:hAnsi="Calibri" w:eastAsia="Calibri" w:cs="Calibri"/>
          <w:noProof w:val="0"/>
          <w:sz w:val="22"/>
          <w:szCs w:val="22"/>
          <w:lang w:val="es-ES"/>
        </w:rPr>
        <w:t>piorada</w:t>
      </w:r>
      <w:r w:rsidRPr="3045E523" w:rsidR="67273EEF">
        <w:rPr>
          <w:rFonts w:ascii="Calibri" w:hAnsi="Calibri" w:eastAsia="Calibri" w:cs="Calibri"/>
          <w:noProof w:val="0"/>
          <w:sz w:val="22"/>
          <w:szCs w:val="22"/>
          <w:lang w:val="es-ES"/>
        </w:rPr>
        <w:t xml:space="preserve"> durante o período peri-TI. Pacientes </w:t>
      </w:r>
      <w:r w:rsidRPr="3045E523" w:rsidR="67273EEF">
        <w:rPr>
          <w:rFonts w:ascii="Calibri" w:hAnsi="Calibri" w:eastAsia="Calibri" w:cs="Calibri"/>
          <w:noProof w:val="0"/>
          <w:sz w:val="22"/>
          <w:szCs w:val="22"/>
          <w:lang w:val="es-ES"/>
        </w:rPr>
        <w:t>com</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acidose</w:t>
      </w:r>
      <w:r w:rsidRPr="3045E523" w:rsidR="67273EEF">
        <w:rPr>
          <w:rFonts w:ascii="Calibri" w:hAnsi="Calibri" w:eastAsia="Calibri" w:cs="Calibri"/>
          <w:noProof w:val="0"/>
          <w:sz w:val="22"/>
          <w:szCs w:val="22"/>
          <w:lang w:val="es-ES"/>
        </w:rPr>
        <w:t xml:space="preserve"> metabólica </w:t>
      </w:r>
      <w:r w:rsidRPr="3045E523" w:rsidR="67273EEF">
        <w:rPr>
          <w:rFonts w:ascii="Calibri" w:hAnsi="Calibri" w:eastAsia="Calibri" w:cs="Calibri"/>
          <w:noProof w:val="0"/>
          <w:sz w:val="22"/>
          <w:szCs w:val="22"/>
          <w:lang w:val="es-ES"/>
        </w:rPr>
        <w:t>frequentemente</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hiperventilam</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na</w:t>
      </w:r>
      <w:r w:rsidRPr="3045E523" w:rsidR="67273EEF">
        <w:rPr>
          <w:rFonts w:ascii="Calibri" w:hAnsi="Calibri" w:eastAsia="Calibri" w:cs="Calibri"/>
          <w:noProof w:val="0"/>
          <w:sz w:val="22"/>
          <w:szCs w:val="22"/>
          <w:lang w:val="es-ES"/>
        </w:rPr>
        <w:t xml:space="preserve"> tentativa de normalizar </w:t>
      </w:r>
      <w:r w:rsidRPr="3045E523" w:rsidR="67273EEF">
        <w:rPr>
          <w:rFonts w:ascii="Calibri" w:hAnsi="Calibri" w:eastAsia="Calibri" w:cs="Calibri"/>
          <w:noProof w:val="0"/>
          <w:sz w:val="22"/>
          <w:szCs w:val="22"/>
          <w:lang w:val="es-ES"/>
        </w:rPr>
        <w:t>seu</w:t>
      </w:r>
      <w:r w:rsidRPr="3045E523" w:rsidR="67273EEF">
        <w:rPr>
          <w:rFonts w:ascii="Calibri" w:hAnsi="Calibri" w:eastAsia="Calibri" w:cs="Calibri"/>
          <w:noProof w:val="0"/>
          <w:sz w:val="22"/>
          <w:szCs w:val="22"/>
          <w:lang w:val="es-ES"/>
        </w:rPr>
        <w:t xml:space="preserve"> pH; </w:t>
      </w:r>
      <w:r w:rsidRPr="3045E523" w:rsidR="67273EEF">
        <w:rPr>
          <w:rFonts w:ascii="Calibri" w:hAnsi="Calibri" w:eastAsia="Calibri" w:cs="Calibri"/>
          <w:noProof w:val="0"/>
          <w:sz w:val="22"/>
          <w:szCs w:val="22"/>
          <w:lang w:val="es-ES"/>
        </w:rPr>
        <w:t>portanto</w:t>
      </w:r>
      <w:r w:rsidRPr="3045E523" w:rsidR="67273EEF">
        <w:rPr>
          <w:rFonts w:ascii="Calibri" w:hAnsi="Calibri" w:eastAsia="Calibri" w:cs="Calibri"/>
          <w:noProof w:val="0"/>
          <w:sz w:val="22"/>
          <w:szCs w:val="22"/>
          <w:lang w:val="es-ES"/>
        </w:rPr>
        <w:t xml:space="preserve">, mesmo </w:t>
      </w:r>
      <w:r w:rsidRPr="3045E523" w:rsidR="67273EEF">
        <w:rPr>
          <w:rFonts w:ascii="Calibri" w:hAnsi="Calibri" w:eastAsia="Calibri" w:cs="Calibri"/>
          <w:noProof w:val="0"/>
          <w:sz w:val="22"/>
          <w:szCs w:val="22"/>
          <w:lang w:val="es-ES"/>
        </w:rPr>
        <w:t>um</w:t>
      </w:r>
      <w:r w:rsidRPr="3045E523" w:rsidR="67273EEF">
        <w:rPr>
          <w:rFonts w:ascii="Calibri" w:hAnsi="Calibri" w:eastAsia="Calibri" w:cs="Calibri"/>
          <w:noProof w:val="0"/>
          <w:sz w:val="22"/>
          <w:szCs w:val="22"/>
          <w:lang w:val="es-ES"/>
        </w:rPr>
        <w:t xml:space="preserve"> breve período </w:t>
      </w:r>
      <w:r w:rsidRPr="3045E523" w:rsidR="67273EEF">
        <w:rPr>
          <w:rFonts w:ascii="Calibri" w:hAnsi="Calibri" w:eastAsia="Calibri" w:cs="Calibri"/>
          <w:noProof w:val="0"/>
          <w:sz w:val="22"/>
          <w:szCs w:val="22"/>
          <w:lang w:val="es-ES"/>
        </w:rPr>
        <w:t>apneico</w:t>
      </w:r>
      <w:r w:rsidRPr="3045E523" w:rsidR="67273EEF">
        <w:rPr>
          <w:rFonts w:ascii="Calibri" w:hAnsi="Calibri" w:eastAsia="Calibri" w:cs="Calibri"/>
          <w:noProof w:val="0"/>
          <w:sz w:val="22"/>
          <w:szCs w:val="22"/>
          <w:lang w:val="es-ES"/>
        </w:rPr>
        <w:t xml:space="preserve"> pode causar acúmulo de dióxido de carbono, </w:t>
      </w:r>
      <w:r w:rsidRPr="3045E523" w:rsidR="67273EEF">
        <w:rPr>
          <w:rFonts w:ascii="Calibri" w:hAnsi="Calibri" w:eastAsia="Calibri" w:cs="Calibri"/>
          <w:noProof w:val="0"/>
          <w:sz w:val="22"/>
          <w:szCs w:val="22"/>
          <w:lang w:val="es-ES"/>
        </w:rPr>
        <w:t>diminuindo</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ainda</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mais</w:t>
      </w:r>
      <w:r w:rsidRPr="3045E523" w:rsidR="67273EEF">
        <w:rPr>
          <w:rFonts w:ascii="Calibri" w:hAnsi="Calibri" w:eastAsia="Calibri" w:cs="Calibri"/>
          <w:noProof w:val="0"/>
          <w:sz w:val="22"/>
          <w:szCs w:val="22"/>
          <w:lang w:val="es-ES"/>
        </w:rPr>
        <w:t xml:space="preserve"> o pH, potencialmente </w:t>
      </w:r>
      <w:r w:rsidRPr="3045E523" w:rsidR="67273EEF">
        <w:rPr>
          <w:rFonts w:ascii="Calibri" w:hAnsi="Calibri" w:eastAsia="Calibri" w:cs="Calibri"/>
          <w:noProof w:val="0"/>
          <w:sz w:val="22"/>
          <w:szCs w:val="22"/>
          <w:lang w:val="es-ES"/>
        </w:rPr>
        <w:t>desencadeando</w:t>
      </w:r>
      <w:r w:rsidRPr="3045E523" w:rsidR="67273EEF">
        <w:rPr>
          <w:rFonts w:ascii="Calibri" w:hAnsi="Calibri" w:eastAsia="Calibri" w:cs="Calibri"/>
          <w:noProof w:val="0"/>
          <w:sz w:val="22"/>
          <w:szCs w:val="22"/>
          <w:lang w:val="es-ES"/>
        </w:rPr>
        <w:t xml:space="preserve"> parada cardíaca. </w:t>
      </w:r>
      <w:r w:rsidRPr="3045E523" w:rsidR="67273EEF">
        <w:rPr>
          <w:rFonts w:ascii="Calibri" w:hAnsi="Calibri" w:eastAsia="Calibri" w:cs="Calibri"/>
          <w:noProof w:val="0"/>
          <w:sz w:val="22"/>
          <w:szCs w:val="22"/>
          <w:lang w:val="es-ES"/>
        </w:rPr>
        <w:t>Notavelmente</w:t>
      </w:r>
      <w:r w:rsidRPr="3045E523" w:rsidR="67273EEF">
        <w:rPr>
          <w:rFonts w:ascii="Calibri" w:hAnsi="Calibri" w:eastAsia="Calibri" w:cs="Calibri"/>
          <w:noProof w:val="0"/>
          <w:sz w:val="22"/>
          <w:szCs w:val="22"/>
          <w:lang w:val="es-ES"/>
        </w:rPr>
        <w:t xml:space="preserve">, a </w:t>
      </w:r>
      <w:r w:rsidRPr="3045E523" w:rsidR="67273EEF">
        <w:rPr>
          <w:rFonts w:ascii="Calibri" w:hAnsi="Calibri" w:eastAsia="Calibri" w:cs="Calibri"/>
          <w:noProof w:val="0"/>
          <w:sz w:val="22"/>
          <w:szCs w:val="22"/>
          <w:lang w:val="es-ES"/>
        </w:rPr>
        <w:t>instabilidade</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hemodinâmica</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induzida</w:t>
      </w:r>
      <w:r w:rsidRPr="3045E523" w:rsidR="67273EEF">
        <w:rPr>
          <w:rFonts w:ascii="Calibri" w:hAnsi="Calibri" w:eastAsia="Calibri" w:cs="Calibri"/>
          <w:noProof w:val="0"/>
          <w:sz w:val="22"/>
          <w:szCs w:val="22"/>
          <w:lang w:val="es-ES"/>
        </w:rPr>
        <w:t xml:space="preserve"> por agentes de </w:t>
      </w:r>
      <w:r w:rsidRPr="3045E523" w:rsidR="67273EEF">
        <w:rPr>
          <w:rFonts w:ascii="Calibri" w:hAnsi="Calibri" w:eastAsia="Calibri" w:cs="Calibri"/>
          <w:noProof w:val="0"/>
          <w:sz w:val="22"/>
          <w:szCs w:val="22"/>
          <w:lang w:val="es-ES"/>
        </w:rPr>
        <w:t>indução</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também</w:t>
      </w:r>
      <w:r w:rsidRPr="3045E523" w:rsidR="67273EEF">
        <w:rPr>
          <w:rFonts w:ascii="Calibri" w:hAnsi="Calibri" w:eastAsia="Calibri" w:cs="Calibri"/>
          <w:noProof w:val="0"/>
          <w:sz w:val="22"/>
          <w:szCs w:val="22"/>
          <w:lang w:val="es-ES"/>
        </w:rPr>
        <w:t xml:space="preserve"> pode contribuir para a </w:t>
      </w:r>
      <w:r w:rsidRPr="3045E523" w:rsidR="67273EEF">
        <w:rPr>
          <w:rFonts w:ascii="Calibri" w:hAnsi="Calibri" w:eastAsia="Calibri" w:cs="Calibri"/>
          <w:noProof w:val="0"/>
          <w:sz w:val="22"/>
          <w:szCs w:val="22"/>
          <w:lang w:val="es-ES"/>
        </w:rPr>
        <w:t>piora</w:t>
      </w:r>
      <w:r w:rsidRPr="3045E523" w:rsidR="67273EEF">
        <w:rPr>
          <w:rFonts w:ascii="Calibri" w:hAnsi="Calibri" w:eastAsia="Calibri" w:cs="Calibri"/>
          <w:noProof w:val="0"/>
          <w:sz w:val="22"/>
          <w:szCs w:val="22"/>
          <w:lang w:val="es-ES"/>
        </w:rPr>
        <w:t xml:space="preserve"> da </w:t>
      </w:r>
      <w:r w:rsidRPr="3045E523" w:rsidR="67273EEF">
        <w:rPr>
          <w:rFonts w:ascii="Calibri" w:hAnsi="Calibri" w:eastAsia="Calibri" w:cs="Calibri"/>
          <w:noProof w:val="0"/>
          <w:sz w:val="22"/>
          <w:szCs w:val="22"/>
          <w:lang w:val="es-ES"/>
        </w:rPr>
        <w:t>acidose</w:t>
      </w:r>
      <w:r w:rsidRPr="3045E523" w:rsidR="67273EEF">
        <w:rPr>
          <w:rFonts w:ascii="Calibri" w:hAnsi="Calibri" w:eastAsia="Calibri" w:cs="Calibri"/>
          <w:noProof w:val="0"/>
          <w:sz w:val="22"/>
          <w:szCs w:val="22"/>
          <w:lang w:val="es-ES"/>
        </w:rPr>
        <w:t xml:space="preserve"> </w:t>
      </w:r>
      <w:r w:rsidRPr="3045E523" w:rsidR="67273EEF">
        <w:rPr>
          <w:rFonts w:ascii="Calibri" w:hAnsi="Calibri" w:eastAsia="Calibri" w:cs="Calibri"/>
          <w:noProof w:val="0"/>
          <w:sz w:val="22"/>
          <w:szCs w:val="22"/>
          <w:lang w:val="es-ES"/>
        </w:rPr>
        <w:t>através</w:t>
      </w:r>
      <w:r w:rsidRPr="3045E523" w:rsidR="67273EEF">
        <w:rPr>
          <w:rFonts w:ascii="Calibri" w:hAnsi="Calibri" w:eastAsia="Calibri" w:cs="Calibri"/>
          <w:noProof w:val="0"/>
          <w:sz w:val="22"/>
          <w:szCs w:val="22"/>
          <w:lang w:val="es-ES"/>
        </w:rPr>
        <w:t xml:space="preserve"> da </w:t>
      </w:r>
      <w:r w:rsidRPr="3045E523" w:rsidR="67273EEF">
        <w:rPr>
          <w:rFonts w:ascii="Calibri" w:hAnsi="Calibri" w:eastAsia="Calibri" w:cs="Calibri"/>
          <w:noProof w:val="0"/>
          <w:sz w:val="22"/>
          <w:szCs w:val="22"/>
          <w:lang w:val="es-ES"/>
        </w:rPr>
        <w:t>redução</w:t>
      </w:r>
      <w:r w:rsidRPr="3045E523" w:rsidR="67273EEF">
        <w:rPr>
          <w:rFonts w:ascii="Calibri" w:hAnsi="Calibri" w:eastAsia="Calibri" w:cs="Calibri"/>
          <w:noProof w:val="0"/>
          <w:sz w:val="22"/>
          <w:szCs w:val="22"/>
          <w:lang w:val="es-ES"/>
        </w:rPr>
        <w:t xml:space="preserve"> da </w:t>
      </w:r>
      <w:r w:rsidRPr="3045E523" w:rsidR="67273EEF">
        <w:rPr>
          <w:rFonts w:ascii="Calibri" w:hAnsi="Calibri" w:eastAsia="Calibri" w:cs="Calibri"/>
          <w:noProof w:val="0"/>
          <w:sz w:val="22"/>
          <w:szCs w:val="22"/>
          <w:lang w:val="es-ES"/>
        </w:rPr>
        <w:t>perfusão</w:t>
      </w:r>
      <w:r w:rsidRPr="3045E523" w:rsidR="67273EEF">
        <w:rPr>
          <w:rFonts w:ascii="Calibri" w:hAnsi="Calibri" w:eastAsia="Calibri" w:cs="Calibri"/>
          <w:noProof w:val="0"/>
          <w:sz w:val="22"/>
          <w:szCs w:val="22"/>
          <w:lang w:val="es-ES"/>
        </w:rPr>
        <w:t xml:space="preserve"> periférica. A </w:t>
      </w:r>
      <w:r w:rsidRPr="3045E523" w:rsidR="67273EEF">
        <w:rPr>
          <w:rFonts w:ascii="Calibri" w:hAnsi="Calibri" w:eastAsia="Calibri" w:cs="Calibri"/>
          <w:noProof w:val="0"/>
          <w:sz w:val="22"/>
          <w:szCs w:val="22"/>
          <w:lang w:val="es-ES"/>
        </w:rPr>
        <w:t>Tabela</w:t>
      </w:r>
      <w:r w:rsidRPr="3045E523" w:rsidR="67273EEF">
        <w:rPr>
          <w:rFonts w:ascii="Calibri" w:hAnsi="Calibri" w:eastAsia="Calibri" w:cs="Calibri"/>
          <w:noProof w:val="0"/>
          <w:sz w:val="22"/>
          <w:szCs w:val="22"/>
          <w:lang w:val="es-ES"/>
        </w:rPr>
        <w:t xml:space="preserve"> 3 resume as </w:t>
      </w:r>
      <w:r w:rsidRPr="3045E523" w:rsidR="67273EEF">
        <w:rPr>
          <w:rFonts w:ascii="Calibri" w:hAnsi="Calibri" w:eastAsia="Calibri" w:cs="Calibri"/>
          <w:noProof w:val="0"/>
          <w:sz w:val="22"/>
          <w:szCs w:val="22"/>
          <w:lang w:val="es-ES"/>
        </w:rPr>
        <w:t>recomendações</w:t>
      </w:r>
      <w:r w:rsidRPr="3045E523" w:rsidR="67273EEF">
        <w:rPr>
          <w:rFonts w:ascii="Calibri" w:hAnsi="Calibri" w:eastAsia="Calibri" w:cs="Calibri"/>
          <w:noProof w:val="0"/>
          <w:sz w:val="22"/>
          <w:szCs w:val="22"/>
          <w:lang w:val="es-ES"/>
        </w:rPr>
        <w:t xml:space="preserve"> peri-TI para pacientes </w:t>
      </w:r>
      <w:r w:rsidRPr="3045E523" w:rsidR="67273EEF">
        <w:rPr>
          <w:rFonts w:ascii="Calibri" w:hAnsi="Calibri" w:eastAsia="Calibri" w:cs="Calibri"/>
          <w:noProof w:val="0"/>
          <w:sz w:val="22"/>
          <w:szCs w:val="22"/>
          <w:lang w:val="es-ES"/>
        </w:rPr>
        <w:t>acídemicos</w:t>
      </w:r>
      <w:r w:rsidRPr="3045E523" w:rsidR="67273EEF">
        <w:rPr>
          <w:rFonts w:ascii="Calibri" w:hAnsi="Calibri" w:eastAsia="Calibri" w:cs="Calibri"/>
          <w:noProof w:val="0"/>
          <w:sz w:val="22"/>
          <w:szCs w:val="22"/>
          <w:lang w:val="es-ES"/>
        </w:rPr>
        <w:t>.</w:t>
      </w:r>
    </w:p>
    <w:tbl>
      <w:tblPr>
        <w:tblStyle w:val="TableGrid"/>
        <w:tblW w:w="0" w:type="auto"/>
        <w:tblLayout w:type="fixed"/>
        <w:tblLook w:val="06A0" w:firstRow="1" w:lastRow="0" w:firstColumn="1" w:lastColumn="0" w:noHBand="1" w:noVBand="1"/>
      </w:tblPr>
      <w:tblGrid>
        <w:gridCol w:w="3244"/>
        <w:gridCol w:w="5771"/>
      </w:tblGrid>
      <w:tr w:rsidR="3045E523" w:rsidTr="3045E523" w14:paraId="016D1E09">
        <w:trPr>
          <w:trHeight w:val="300"/>
        </w:trPr>
        <w:tc>
          <w:tcPr>
            <w:tcW w:w="3244" w:type="dxa"/>
            <w:shd w:val="clear" w:color="auto" w:fill="A8D08D" w:themeFill="accent6" w:themeFillTint="99"/>
            <w:tcMar/>
          </w:tcPr>
          <w:p w:rsidR="3045E523" w:rsidP="3045E523" w:rsidRDefault="3045E523" w14:paraId="7C70E9A5" w14:textId="690B0CA6">
            <w:pPr>
              <w:pStyle w:val="Normal"/>
            </w:pPr>
          </w:p>
        </w:tc>
        <w:tc>
          <w:tcPr>
            <w:tcW w:w="5771" w:type="dxa"/>
            <w:shd w:val="clear" w:color="auto" w:fill="A8D08D" w:themeFill="accent6" w:themeFillTint="99"/>
            <w:tcMar/>
          </w:tcPr>
          <w:p w:rsidR="557F02BC" w:rsidP="3045E523" w:rsidRDefault="557F02BC" w14:paraId="07055373" w14:textId="4C9E5A5E">
            <w:pPr>
              <w:pStyle w:val="Normal"/>
            </w:pPr>
            <w:r w:rsidR="557F02BC">
              <w:rPr/>
              <w:t>Otimização da Acidose Metabólica</w:t>
            </w:r>
          </w:p>
        </w:tc>
      </w:tr>
      <w:tr w:rsidR="3045E523" w:rsidTr="3045E523" w14:paraId="6583EC44">
        <w:trPr>
          <w:trHeight w:val="300"/>
        </w:trPr>
        <w:tc>
          <w:tcPr>
            <w:tcW w:w="3244" w:type="dxa"/>
            <w:tcMar/>
          </w:tcPr>
          <w:p w:rsidR="557F02BC" w:rsidP="3045E523" w:rsidRDefault="557F02BC" w14:paraId="47737A29" w14:textId="16076FA6">
            <w:pPr>
              <w:pStyle w:val="Normal"/>
            </w:pPr>
            <w:r w:rsidRPr="3045E523" w:rsidR="557F02BC">
              <w:rPr>
                <w:rFonts w:ascii="Calibri" w:hAnsi="Calibri" w:eastAsia="Calibri" w:cs="Calibri"/>
                <w:noProof w:val="0"/>
                <w:sz w:val="22"/>
                <w:szCs w:val="22"/>
                <w:lang w:val="es-ES"/>
              </w:rPr>
              <w:t>Atraso na intubação</w:t>
            </w:r>
          </w:p>
        </w:tc>
        <w:tc>
          <w:tcPr>
            <w:tcW w:w="5771" w:type="dxa"/>
            <w:tcMar/>
          </w:tcPr>
          <w:p w:rsidR="557F02BC" w:rsidP="3045E523" w:rsidRDefault="557F02BC" w14:paraId="433CB077" w14:textId="0259922B">
            <w:pPr>
              <w:pStyle w:val="Normal"/>
            </w:pPr>
            <w:r w:rsidRPr="3045E523" w:rsidR="557F02BC">
              <w:rPr>
                <w:rFonts w:ascii="Calibri" w:hAnsi="Calibri" w:eastAsia="Calibri" w:cs="Calibri"/>
                <w:noProof w:val="0"/>
                <w:sz w:val="22"/>
                <w:szCs w:val="22"/>
                <w:lang w:val="es-ES"/>
              </w:rPr>
              <w:t>Idealmente até que a causa subjacente da acidose seja tratada, quando possível</w:t>
            </w:r>
          </w:p>
        </w:tc>
      </w:tr>
      <w:tr w:rsidR="3045E523" w:rsidTr="3045E523" w14:paraId="03A365CF">
        <w:trPr>
          <w:trHeight w:val="300"/>
        </w:trPr>
        <w:tc>
          <w:tcPr>
            <w:tcW w:w="3244" w:type="dxa"/>
            <w:tcMar/>
          </w:tcPr>
          <w:p w:rsidR="557F02BC" w:rsidP="3045E523" w:rsidRDefault="557F02BC" w14:paraId="49BAD09C" w14:textId="1F72DCDE">
            <w:pPr>
              <w:pStyle w:val="Normal"/>
            </w:pPr>
            <w:r w:rsidRPr="3045E523" w:rsidR="557F02BC">
              <w:rPr>
                <w:rFonts w:ascii="Calibri" w:hAnsi="Calibri" w:eastAsia="Calibri" w:cs="Calibri"/>
                <w:noProof w:val="0"/>
                <w:sz w:val="22"/>
                <w:szCs w:val="22"/>
                <w:lang w:val="es-ES"/>
              </w:rPr>
              <w:t>Ventilação positiva não invasiva</w:t>
            </w:r>
          </w:p>
        </w:tc>
        <w:tc>
          <w:tcPr>
            <w:tcW w:w="5771" w:type="dxa"/>
            <w:tcMar/>
          </w:tcPr>
          <w:p w:rsidR="557F02BC" w:rsidP="3045E523" w:rsidRDefault="557F02BC" w14:paraId="02446709" w14:textId="08C77752">
            <w:pPr>
              <w:pStyle w:val="Normal"/>
            </w:pPr>
            <w:r w:rsidRPr="3045E523" w:rsidR="557F02BC">
              <w:rPr>
                <w:rFonts w:ascii="Calibri" w:hAnsi="Calibri" w:eastAsia="Calibri" w:cs="Calibri"/>
                <w:noProof w:val="0"/>
                <w:sz w:val="22"/>
                <w:szCs w:val="22"/>
                <w:lang w:val="es-ES"/>
              </w:rPr>
              <w:t>Melhora</w:t>
            </w:r>
            <w:r w:rsidRPr="3045E523" w:rsidR="557F02BC">
              <w:rPr>
                <w:rFonts w:ascii="Calibri" w:hAnsi="Calibri" w:eastAsia="Calibri" w:cs="Calibri"/>
                <w:noProof w:val="0"/>
                <w:sz w:val="22"/>
                <w:szCs w:val="22"/>
                <w:lang w:val="es-ES"/>
              </w:rPr>
              <w:t xml:space="preserve"> a </w:t>
            </w:r>
            <w:r w:rsidRPr="3045E523" w:rsidR="557F02BC">
              <w:rPr>
                <w:rFonts w:ascii="Calibri" w:hAnsi="Calibri" w:eastAsia="Calibri" w:cs="Calibri"/>
                <w:noProof w:val="0"/>
                <w:sz w:val="22"/>
                <w:szCs w:val="22"/>
                <w:lang w:val="es-ES"/>
              </w:rPr>
              <w:t>pré-oxigenação</w:t>
            </w:r>
            <w:r w:rsidRPr="3045E523" w:rsidR="557F02BC">
              <w:rPr>
                <w:rFonts w:ascii="Calibri" w:hAnsi="Calibri" w:eastAsia="Calibri" w:cs="Calibri"/>
                <w:noProof w:val="0"/>
                <w:sz w:val="22"/>
                <w:szCs w:val="22"/>
                <w:lang w:val="es-ES"/>
              </w:rPr>
              <w:t xml:space="preserve"> e a troca de gases </w:t>
            </w:r>
            <w:r w:rsidRPr="3045E523" w:rsidR="557F02BC">
              <w:rPr>
                <w:rFonts w:ascii="Calibri" w:hAnsi="Calibri" w:eastAsia="Calibri" w:cs="Calibri"/>
                <w:noProof w:val="0"/>
                <w:sz w:val="22"/>
                <w:szCs w:val="22"/>
                <w:lang w:val="es-ES"/>
              </w:rPr>
              <w:t>pré-intubação</w:t>
            </w:r>
            <w:r w:rsidRPr="3045E523" w:rsidR="557F02BC">
              <w:rPr>
                <w:rFonts w:ascii="Calibri" w:hAnsi="Calibri" w:eastAsia="Calibri" w:cs="Calibri"/>
                <w:noProof w:val="0"/>
                <w:sz w:val="22"/>
                <w:szCs w:val="22"/>
                <w:lang w:val="es-ES"/>
              </w:rPr>
              <w:t xml:space="preserve"> </w:t>
            </w:r>
          </w:p>
          <w:p w:rsidR="557F02BC" w:rsidP="3045E523" w:rsidRDefault="557F02BC" w14:paraId="4EE12989" w14:textId="224DFDC5">
            <w:pPr>
              <w:pStyle w:val="Normal"/>
              <w:rPr>
                <w:rFonts w:ascii="Calibri" w:hAnsi="Calibri" w:eastAsia="Calibri" w:cs="Calibri"/>
                <w:noProof w:val="0"/>
                <w:sz w:val="22"/>
                <w:szCs w:val="22"/>
                <w:lang w:val="es-ES"/>
              </w:rPr>
            </w:pPr>
            <w:r w:rsidRPr="3045E523" w:rsidR="557F02BC">
              <w:rPr>
                <w:rFonts w:ascii="Calibri" w:hAnsi="Calibri" w:eastAsia="Calibri" w:cs="Calibri"/>
                <w:noProof w:val="0"/>
                <w:sz w:val="22"/>
                <w:szCs w:val="22"/>
                <w:lang w:val="es-ES"/>
              </w:rPr>
              <w:t xml:space="preserve">Fornece </w:t>
            </w:r>
            <w:r w:rsidRPr="3045E523" w:rsidR="557F02BC">
              <w:rPr>
                <w:rFonts w:ascii="Calibri" w:hAnsi="Calibri" w:eastAsia="Calibri" w:cs="Calibri"/>
                <w:noProof w:val="0"/>
                <w:sz w:val="22"/>
                <w:szCs w:val="22"/>
                <w:lang w:val="es-ES"/>
              </w:rPr>
              <w:t>orientação</w:t>
            </w:r>
            <w:r w:rsidRPr="3045E523" w:rsidR="557F02BC">
              <w:rPr>
                <w:rFonts w:ascii="Calibri" w:hAnsi="Calibri" w:eastAsia="Calibri" w:cs="Calibri"/>
                <w:noProof w:val="0"/>
                <w:sz w:val="22"/>
                <w:szCs w:val="22"/>
                <w:lang w:val="es-ES"/>
              </w:rPr>
              <w:t xml:space="preserve"> para as </w:t>
            </w:r>
            <w:r w:rsidRPr="3045E523" w:rsidR="557F02BC">
              <w:rPr>
                <w:rFonts w:ascii="Calibri" w:hAnsi="Calibri" w:eastAsia="Calibri" w:cs="Calibri"/>
                <w:noProof w:val="0"/>
                <w:sz w:val="22"/>
                <w:szCs w:val="22"/>
                <w:lang w:val="es-ES"/>
              </w:rPr>
              <w:t>necessidades</w:t>
            </w:r>
            <w:r w:rsidRPr="3045E523" w:rsidR="557F02BC">
              <w:rPr>
                <w:rFonts w:ascii="Calibri" w:hAnsi="Calibri" w:eastAsia="Calibri" w:cs="Calibri"/>
                <w:noProof w:val="0"/>
                <w:sz w:val="22"/>
                <w:szCs w:val="22"/>
                <w:lang w:val="es-ES"/>
              </w:rPr>
              <w:t xml:space="preserve"> de </w:t>
            </w:r>
            <w:r w:rsidRPr="3045E523" w:rsidR="557F02BC">
              <w:rPr>
                <w:rFonts w:ascii="Calibri" w:hAnsi="Calibri" w:eastAsia="Calibri" w:cs="Calibri"/>
                <w:noProof w:val="0"/>
                <w:sz w:val="22"/>
                <w:szCs w:val="22"/>
                <w:lang w:val="es-ES"/>
              </w:rPr>
              <w:t>ventilação</w:t>
            </w:r>
            <w:r w:rsidRPr="3045E523" w:rsidR="557F02BC">
              <w:rPr>
                <w:rFonts w:ascii="Calibri" w:hAnsi="Calibri" w:eastAsia="Calibri" w:cs="Calibri"/>
                <w:noProof w:val="0"/>
                <w:sz w:val="22"/>
                <w:szCs w:val="22"/>
                <w:lang w:val="es-ES"/>
              </w:rPr>
              <w:t xml:space="preserve"> </w:t>
            </w:r>
            <w:r w:rsidRPr="3045E523" w:rsidR="557F02BC">
              <w:rPr>
                <w:rFonts w:ascii="Calibri" w:hAnsi="Calibri" w:eastAsia="Calibri" w:cs="Calibri"/>
                <w:noProof w:val="0"/>
                <w:sz w:val="22"/>
                <w:szCs w:val="22"/>
                <w:lang w:val="es-ES"/>
              </w:rPr>
              <w:t>pós-intubação</w:t>
            </w:r>
          </w:p>
        </w:tc>
      </w:tr>
      <w:tr w:rsidR="3045E523" w:rsidTr="3045E523" w14:paraId="4D298056">
        <w:trPr>
          <w:trHeight w:val="300"/>
        </w:trPr>
        <w:tc>
          <w:tcPr>
            <w:tcW w:w="3244" w:type="dxa"/>
            <w:tcMar/>
          </w:tcPr>
          <w:p w:rsidR="557F02BC" w:rsidP="3045E523" w:rsidRDefault="557F02BC" w14:paraId="06508003" w14:textId="6E6F68BE">
            <w:pPr>
              <w:pStyle w:val="Normal"/>
            </w:pPr>
            <w:r w:rsidRPr="3045E523" w:rsidR="557F02BC">
              <w:rPr>
                <w:rFonts w:ascii="Calibri" w:hAnsi="Calibri" w:eastAsia="Calibri" w:cs="Calibri"/>
                <w:noProof w:val="0"/>
                <w:sz w:val="22"/>
                <w:szCs w:val="22"/>
                <w:lang w:val="es-ES"/>
              </w:rPr>
              <w:t>Intubação acordado</w:t>
            </w:r>
          </w:p>
        </w:tc>
        <w:tc>
          <w:tcPr>
            <w:tcW w:w="5771" w:type="dxa"/>
            <w:tcMar/>
          </w:tcPr>
          <w:p w:rsidR="557F02BC" w:rsidP="3045E523" w:rsidRDefault="557F02BC" w14:paraId="1D469FAC" w14:textId="36EDB788">
            <w:pPr>
              <w:pStyle w:val="Normal"/>
            </w:pPr>
            <w:r w:rsidRPr="3045E523" w:rsidR="557F02BC">
              <w:rPr>
                <w:rFonts w:ascii="Calibri" w:hAnsi="Calibri" w:eastAsia="Calibri" w:cs="Calibri"/>
                <w:noProof w:val="0"/>
                <w:sz w:val="22"/>
                <w:szCs w:val="22"/>
                <w:lang w:val="es-ES"/>
              </w:rPr>
              <w:t>Permite a manutenção da respiração espontânea e da troca de gases para evitar o agravamento da acidose com apneia Permite um modo de ventilação de suporte imediatamente após a intubação, preservando o impulso compensatório respiratório</w:t>
            </w:r>
          </w:p>
        </w:tc>
      </w:tr>
      <w:tr w:rsidR="3045E523" w:rsidTr="3045E523" w14:paraId="688D7E4C">
        <w:trPr>
          <w:trHeight w:val="300"/>
        </w:trPr>
        <w:tc>
          <w:tcPr>
            <w:tcW w:w="3244" w:type="dxa"/>
            <w:tcMar/>
          </w:tcPr>
          <w:p w:rsidR="557F02BC" w:rsidP="3045E523" w:rsidRDefault="557F02BC" w14:paraId="2CFDA070" w14:textId="760C6436">
            <w:pPr>
              <w:pStyle w:val="Normal"/>
            </w:pPr>
            <w:r w:rsidRPr="3045E523" w:rsidR="557F02BC">
              <w:rPr>
                <w:rFonts w:ascii="Calibri" w:hAnsi="Calibri" w:eastAsia="Calibri" w:cs="Calibri"/>
                <w:noProof w:val="0"/>
                <w:sz w:val="22"/>
                <w:szCs w:val="22"/>
                <w:lang w:val="es-ES"/>
              </w:rPr>
              <w:t>Oxigenação apneica</w:t>
            </w:r>
          </w:p>
        </w:tc>
        <w:tc>
          <w:tcPr>
            <w:tcW w:w="5771" w:type="dxa"/>
            <w:tcMar/>
          </w:tcPr>
          <w:p w:rsidR="557F02BC" w:rsidP="3045E523" w:rsidRDefault="557F02BC" w14:paraId="75B17788" w14:textId="7ADE19FF">
            <w:pPr>
              <w:pStyle w:val="Normal"/>
            </w:pPr>
            <w:r w:rsidRPr="3045E523" w:rsidR="557F02BC">
              <w:rPr>
                <w:rFonts w:ascii="Calibri" w:hAnsi="Calibri" w:eastAsia="Calibri" w:cs="Calibri"/>
                <w:noProof w:val="0"/>
                <w:sz w:val="22"/>
                <w:szCs w:val="22"/>
                <w:lang w:val="es-ES"/>
              </w:rPr>
              <w:t>Pode fornecer uma quantidade imprevisível de troca de gases durante o período apneico</w:t>
            </w:r>
          </w:p>
        </w:tc>
      </w:tr>
      <w:tr w:rsidR="3045E523" w:rsidTr="3045E523" w14:paraId="464E71C8">
        <w:trPr>
          <w:trHeight w:val="300"/>
        </w:trPr>
        <w:tc>
          <w:tcPr>
            <w:tcW w:w="3244" w:type="dxa"/>
            <w:tcMar/>
          </w:tcPr>
          <w:p w:rsidR="557F02BC" w:rsidP="3045E523" w:rsidRDefault="557F02BC" w14:paraId="7D996049" w14:textId="1D2855B8">
            <w:pPr>
              <w:pStyle w:val="Normal"/>
            </w:pPr>
            <w:r w:rsidRPr="3045E523" w:rsidR="557F02BC">
              <w:rPr>
                <w:rFonts w:ascii="Calibri" w:hAnsi="Calibri" w:eastAsia="Calibri" w:cs="Calibri"/>
                <w:noProof w:val="0"/>
                <w:sz w:val="22"/>
                <w:szCs w:val="22"/>
                <w:lang w:val="es-ES"/>
              </w:rPr>
              <w:t>Bolus de bicarbonato pré-intubação</w:t>
            </w:r>
          </w:p>
        </w:tc>
        <w:tc>
          <w:tcPr>
            <w:tcW w:w="5771" w:type="dxa"/>
            <w:tcMar/>
          </w:tcPr>
          <w:p w:rsidR="557F02BC" w:rsidP="3045E523" w:rsidRDefault="557F02BC" w14:paraId="7423E6F8" w14:textId="5D9430C7">
            <w:pPr>
              <w:pStyle w:val="Normal"/>
            </w:pPr>
            <w:r w:rsidRPr="3045E523" w:rsidR="557F02BC">
              <w:rPr>
                <w:rFonts w:ascii="Calibri" w:hAnsi="Calibri" w:eastAsia="Calibri" w:cs="Calibri"/>
                <w:noProof w:val="0"/>
                <w:sz w:val="22"/>
                <w:szCs w:val="22"/>
                <w:lang w:val="es-ES"/>
              </w:rPr>
              <w:t>Assunto em constante debate</w:t>
            </w:r>
          </w:p>
        </w:tc>
      </w:tr>
    </w:tbl>
    <w:p w:rsidR="557F02BC" w:rsidP="3045E523" w:rsidRDefault="557F02BC" w14:paraId="5C0ADD3D" w14:textId="287EFB4F">
      <w:pPr>
        <w:pStyle w:val="Normal"/>
      </w:pPr>
      <w:r w:rsidR="557F02BC">
        <w:rPr/>
        <w:t>Tabela</w:t>
      </w:r>
      <w:r w:rsidR="557F02BC">
        <w:rPr/>
        <w:t xml:space="preserve"> 3. Resumo das </w:t>
      </w:r>
      <w:r w:rsidR="557F02BC">
        <w:rPr/>
        <w:t>Recomendações</w:t>
      </w:r>
      <w:r w:rsidR="557F02BC">
        <w:rPr/>
        <w:t xml:space="preserve"> para </w:t>
      </w:r>
      <w:r w:rsidR="557F02BC">
        <w:rPr/>
        <w:t>Otimização</w:t>
      </w:r>
      <w:r w:rsidR="557F02BC">
        <w:rPr/>
        <w:t xml:space="preserve"> Peri-</w:t>
      </w:r>
      <w:r w:rsidR="557F02BC">
        <w:rPr/>
        <w:t>Intubação</w:t>
      </w:r>
      <w:r w:rsidR="557F02BC">
        <w:rPr/>
        <w:t xml:space="preserve"> da </w:t>
      </w:r>
      <w:r w:rsidR="557F02BC">
        <w:rPr/>
        <w:t>Acidose</w:t>
      </w:r>
      <w:r w:rsidR="557F02BC">
        <w:rPr/>
        <w:t xml:space="preserve"> Metabólica</w:t>
      </w:r>
    </w:p>
    <w:p w:rsidR="3045E523" w:rsidP="3045E523" w:rsidRDefault="3045E523" w14:paraId="01766715" w14:textId="2DEED9D9">
      <w:pPr>
        <w:pStyle w:val="Normal"/>
      </w:pPr>
    </w:p>
    <w:p w:rsidR="534AE067" w:rsidP="3045E523" w:rsidRDefault="534AE067" w14:paraId="1C9F6DAF" w14:textId="3D7B26D2">
      <w:pPr>
        <w:pStyle w:val="Normal"/>
      </w:pPr>
      <w:r w:rsidR="534AE067">
        <w:rPr/>
        <w:t>Otimização da Acidose Metabólica</w:t>
      </w:r>
    </w:p>
    <w:p w:rsidR="534AE067" w:rsidP="3045E523" w:rsidRDefault="534AE067" w14:paraId="57678C3A" w14:textId="08825D6E">
      <w:pPr>
        <w:pStyle w:val="Normal"/>
      </w:pPr>
      <w:r w:rsidR="534AE067">
        <w:rPr/>
        <w:t>Em pacientes com acidose metabólica grave, a VNI (Ventilação Não Invasiva) pode ser usada para auxiliar a ventilação e a pré-oxigenação, e para medir parâmetros respiratórios, prevendo a ventilação minuto necessária. Em casos graves, é possível que um requisito de ventilação minuto alto não possa ser alcançado por um ventilador mecânico. Nestes casos, a intubação deve ser evitada ou adiada quando possível, e a VNI usada para suportar a hiperventilação até que o tratamento da causa subjacente da acidose seja iniciado.5,10</w:t>
      </w:r>
    </w:p>
    <w:p w:rsidR="534AE067" w:rsidP="3045E523" w:rsidRDefault="534AE067" w14:paraId="2236EE06" w14:textId="38AC3719">
      <w:pPr>
        <w:pStyle w:val="Normal"/>
      </w:pPr>
      <w:r w:rsidR="534AE067">
        <w:rPr/>
        <w:t>Quando a intubação não pode ser adiada, a manutenção da respiração espontânea durante e após a intubação deve ser considerada.5,10 Alguns autores recomendam evitar a IOTR (Indução de Sequência Rápida), ou usar agentes bloqueadores neuromusculares de curta duração (por exemplo, succinilcolina) quando a IOTR é necessária.5 O uso de OFAN (Oxigenação por Fluxo Alto Nasal) para oxigenação apneica pode desacelerar o acúmulo de dióxido de carbono através da lavagem do espaço morto.15 Os agentes de indução devem ser escolhidos e cuidadosamente titulados para evitar a deterioração hemodinâmica adicional.5,10 Após a intubação, deve-se considerar uma estratégia de ventilação espontânea suportada para permitir que o paciente defina sua ventilação minuto e mantenha a compensação respiratória. Deve-se ter cuidado para evitar o aprisionamento de ar, dado os altos volumes correntes e taxas respiratórias que esses pacientes frequentemente requerem.</w:t>
      </w:r>
    </w:p>
    <w:p w:rsidR="534AE067" w:rsidP="3045E523" w:rsidRDefault="534AE067" w14:paraId="2AEF59C9" w14:textId="79E366EF">
      <w:pPr>
        <w:pStyle w:val="Normal"/>
      </w:pPr>
      <w:r w:rsidR="534AE067">
        <w:rPr/>
        <w:t>Bolus de bicarbonato pré-TI em pacientes com ventilação minuto muito alta permanece um assunto de debate.5</w:t>
      </w:r>
    </w:p>
    <w:p w:rsidR="534AE067" w:rsidP="3045E523" w:rsidRDefault="534AE067" w14:paraId="30F92E02" w14:textId="39994FCF">
      <w:pPr>
        <w:pStyle w:val="Normal"/>
      </w:pPr>
      <w:r w:rsidR="534AE067">
        <w:rPr/>
        <w:t xml:space="preserve"> </w:t>
      </w:r>
    </w:p>
    <w:p w:rsidR="534AE067" w:rsidP="3045E523" w:rsidRDefault="534AE067" w14:paraId="16DF6980" w14:textId="5E6A59B5">
      <w:pPr>
        <w:pStyle w:val="Normal"/>
      </w:pPr>
      <w:r w:rsidR="534AE067">
        <w:rPr/>
        <w:t>VIA AÉREA FISIOLOGICAMENTE DIFÍCIL</w:t>
      </w:r>
    </w:p>
    <w:p w:rsidR="534AE067" w:rsidP="3045E523" w:rsidRDefault="534AE067" w14:paraId="3170E82C" w14:textId="14CB4085">
      <w:pPr>
        <w:pStyle w:val="Normal"/>
      </w:pPr>
      <w:r w:rsidR="534AE067">
        <w:rPr/>
        <w:t>Hipoxia, hipotensão e acidose são apresentações comuns associadas a uma via aérea fisicamente difícil; no entanto, existem muitas outras patologias associadas ao manejo de vias aéreas de alto risco. A discussão detalhada de todas as possíveis vias aéreas fisicamente difíceis está além do escopo deste tutorial; no entanto, considerações chave em algumas condições críticas são apresentadas abaixo.</w:t>
      </w:r>
    </w:p>
    <w:p w:rsidR="534AE067" w:rsidP="3045E523" w:rsidRDefault="534AE067" w14:paraId="7E085BF6" w14:textId="74170DE1">
      <w:pPr>
        <w:pStyle w:val="Normal"/>
      </w:pPr>
      <w:r w:rsidR="534AE067">
        <w:rPr/>
        <w:t xml:space="preserve"> </w:t>
      </w:r>
    </w:p>
    <w:p w:rsidR="534AE067" w:rsidP="3045E523" w:rsidRDefault="534AE067" w14:paraId="1DDFCB3E" w14:textId="4D82FAC7">
      <w:pPr>
        <w:pStyle w:val="Normal"/>
      </w:pPr>
      <w:r w:rsidR="534AE067">
        <w:rPr/>
        <w:t>Insuficiência do VD</w:t>
      </w:r>
    </w:p>
    <w:p w:rsidR="534AE067" w:rsidP="3045E523" w:rsidRDefault="534AE067" w14:paraId="79F8F795" w14:textId="11EEE298">
      <w:pPr>
        <w:pStyle w:val="Normal"/>
      </w:pPr>
      <w:r w:rsidR="534AE067">
        <w:rPr/>
        <w:t>Um VD falhando é extremamente sensível a mudanças na pré-carga e pós-carga que ocorrem durante a TI. Hipotensão secundária aos agentes de indução e aumento da pressão torácica devido à ventilação mecânica podem ambos levar à redução do retorno venoso e da pré-carga do VD. Hipoxia, hipercapnia, aumento do tom simpático e o aumento da pressão intratorácica induzida pela TI podem aumentar a pós-carga do VD. Pacientes com suspeita de falha do VD justificam uma avaliação por POCUS sempre que possível, manejo cuidadoso de fluidos e consideração de vasodilatadores pulmonares inalatórios. Estratégias de intubação (acordado ou sob sedação) devem ser escolhidas para evitar hipoxia, hipercapnia, acidose, estimulação simpática e instabilidade hemodinâmica.5,10,18</w:t>
      </w:r>
    </w:p>
    <w:p w:rsidR="534AE067" w:rsidP="3045E523" w:rsidRDefault="534AE067" w14:paraId="183AF847" w14:textId="5B6F8DB3">
      <w:pPr>
        <w:pStyle w:val="Normal"/>
      </w:pPr>
      <w:r w:rsidR="534AE067">
        <w:rPr/>
        <w:t xml:space="preserve"> </w:t>
      </w:r>
    </w:p>
    <w:p w:rsidR="534AE067" w:rsidP="3045E523" w:rsidRDefault="534AE067" w14:paraId="08D74EAF" w14:textId="2A42E500">
      <w:pPr>
        <w:pStyle w:val="Normal"/>
      </w:pPr>
      <w:r w:rsidR="534AE067">
        <w:rPr/>
        <w:t>Tamponamento Cardíaco</w:t>
      </w:r>
    </w:p>
    <w:p w:rsidR="534AE067" w:rsidP="3045E523" w:rsidRDefault="534AE067" w14:paraId="442A3B2C" w14:textId="0A47D2C0">
      <w:pPr>
        <w:pStyle w:val="Normal"/>
      </w:pPr>
      <w:r w:rsidR="534AE067">
        <w:rPr/>
        <w:t>O tamponamento cardíaco resulta em elevação das pressões de enchimento do VE, prejudicando o enchimento diastólico e resultando em um volume sistólico fixo, e, assim, um débito cardíaco dependente da frequência, que pode deteriorar ainda mais com a reduzida pré-carga, resistência vascular sistêmica e aumento da pressão intratorácica ocorrendo durante a TI. Quando possível, a drenagem pericárdica deve ocorrer antes da TI em pacientes hemodinamicamente instáveis. Quando a TI é necessária, as estratégias (acordado ou sob sedação) devem ser adaptadas para preservar a ventilação espontânea, aumentar e manter a pré-carga, evitar bradicardia, manter o ritmo sinusal, manter a resistência vascular</w:t>
      </w:r>
    </w:p>
    <w:p w:rsidR="534AE067" w:rsidP="3045E523" w:rsidRDefault="534AE067" w14:paraId="0E299F44" w14:textId="34F4A748">
      <w:pPr>
        <w:pStyle w:val="Normal"/>
      </w:pPr>
      <w:r w:rsidR="534AE067">
        <w:rPr/>
        <w:t xml:space="preserve"> </w:t>
      </w:r>
    </w:p>
    <w:p w:rsidR="534AE067" w:rsidP="3045E523" w:rsidRDefault="534AE067" w14:paraId="05FFA10D" w14:textId="05DF1181">
      <w:pPr>
        <w:pStyle w:val="Normal"/>
      </w:pPr>
      <w:r w:rsidR="534AE067">
        <w:rPr/>
        <w:t>sistêmica, manter a contratilidade miocárdica e minimizar aumentos na pressão intratorácica.25</w:t>
      </w:r>
    </w:p>
    <w:p w:rsidR="534AE067" w:rsidP="3045E523" w:rsidRDefault="534AE067" w14:paraId="013FEFF4" w14:textId="082015EF">
      <w:pPr>
        <w:pStyle w:val="Normal"/>
      </w:pPr>
      <w:r w:rsidR="534AE067">
        <w:rPr/>
        <w:t xml:space="preserve"> </w:t>
      </w:r>
    </w:p>
    <w:p w:rsidR="534AE067" w:rsidP="3045E523" w:rsidRDefault="534AE067" w14:paraId="106C17B9" w14:textId="77454F09">
      <w:pPr>
        <w:pStyle w:val="Normal"/>
      </w:pPr>
      <w:r w:rsidR="534AE067">
        <w:rPr/>
        <w:t>Estenose Aórtica</w:t>
      </w:r>
    </w:p>
    <w:p w:rsidR="534AE067" w:rsidP="3045E523" w:rsidRDefault="534AE067" w14:paraId="70F8972E" w14:textId="5795032E">
      <w:pPr>
        <w:pStyle w:val="Normal"/>
      </w:pPr>
      <w:r w:rsidR="534AE067">
        <w:rPr/>
        <w:t>Pacientes com estenose aórtica grave têm uma obstrução fixa ao fluxo de saída do VE, resultando em uma capacidade prejudicada de aumentar o débito cardíaco para compensar o estresse fisiológico, particularmente a vasodilatação sistêmica. Hipertrofia do VE e disfunção diastólica resultam em aumento da demanda de oxigênio pelo miocárdio e fornecimento de oxigênio tênue, que pode resultar em isquemia miocárdica e rápida deterioração hemodinâmica na indução da anestesia e TI. Estratégias de intubação devem ser adaptadas para manter uma pré-carga adequada e pressões de enchimento do VE, manter uma frequência cardíaca baixo-normal para permitir o enchimento diastólico e perfusão coronariana, manter o ritmo sinusal, manter a contratilidade e manter uma resistência vascular sistêmica elevada para aumentar a perfusão coronariana.26</w:t>
      </w:r>
    </w:p>
    <w:p w:rsidR="534AE067" w:rsidP="3045E523" w:rsidRDefault="534AE067" w14:paraId="42537F0E" w14:textId="517C8CAC">
      <w:pPr>
        <w:pStyle w:val="Normal"/>
      </w:pPr>
      <w:r w:rsidR="534AE067">
        <w:rPr/>
        <w:t xml:space="preserve"> </w:t>
      </w:r>
    </w:p>
    <w:p w:rsidR="534AE067" w:rsidP="3045E523" w:rsidRDefault="534AE067" w14:paraId="4F027F98" w14:textId="376F3C96">
      <w:pPr>
        <w:pStyle w:val="Normal"/>
      </w:pPr>
      <w:r w:rsidR="534AE067">
        <w:rPr/>
        <w:t>Estenose Mitral</w:t>
      </w:r>
    </w:p>
    <w:p w:rsidR="534AE067" w:rsidP="3045E523" w:rsidRDefault="534AE067" w14:paraId="5F65F10F" w14:textId="500D063F">
      <w:pPr>
        <w:pStyle w:val="Normal"/>
      </w:pPr>
      <w:r w:rsidR="534AE067">
        <w:rPr/>
        <w:t>Uma válvula mitral estenótica prejudica o enchimento diastólico do VE e aumenta as pressões do átrio esquerdo, arterial pulmonar e VD, eventualmente resultando em arritmia, edema pulmonar, hipertensão pulmonar e falha do VD. Estratégias de intubação devem ser adaptadas para manter uma frequência cardíaca baixo-normal para maximizar o tempo de enchimento do VE, manter a estabilidade hemodinâmica, evitar (e corrigir agressivamente) a fibrilação atrial, manter a euvolemia e evitar precipitar a falha do VD como discutido acima.25</w:t>
      </w:r>
    </w:p>
    <w:tbl>
      <w:tblPr>
        <w:tblStyle w:val="TableGrid"/>
        <w:tblW w:w="0" w:type="auto"/>
        <w:tblLayout w:type="fixed"/>
        <w:tblLook w:val="06A0" w:firstRow="1" w:lastRow="0" w:firstColumn="1" w:lastColumn="0" w:noHBand="1" w:noVBand="1"/>
      </w:tblPr>
      <w:tblGrid>
        <w:gridCol w:w="4508"/>
        <w:gridCol w:w="4508"/>
      </w:tblGrid>
      <w:tr w:rsidR="3045E523" w:rsidTr="3045E523" w14:paraId="0A9CCCB9">
        <w:trPr>
          <w:trHeight w:val="300"/>
        </w:trPr>
        <w:tc>
          <w:tcPr>
            <w:tcW w:w="4508" w:type="dxa"/>
            <w:shd w:val="clear" w:color="auto" w:fill="A8D08D" w:themeFill="accent6" w:themeFillTint="99"/>
            <w:tcMar/>
          </w:tcPr>
          <w:p w:rsidR="534AE067" w:rsidP="3045E523" w:rsidRDefault="534AE067" w14:paraId="5EE5C291" w14:textId="25887B2B">
            <w:pPr>
              <w:pStyle w:val="Normal"/>
            </w:pPr>
            <w:r w:rsidR="534AE067">
              <w:rPr/>
              <w:t>Condições</w:t>
            </w:r>
          </w:p>
        </w:tc>
        <w:tc>
          <w:tcPr>
            <w:tcW w:w="4508" w:type="dxa"/>
            <w:shd w:val="clear" w:color="auto" w:fill="A8D08D" w:themeFill="accent6" w:themeFillTint="99"/>
            <w:tcMar/>
          </w:tcPr>
          <w:p w:rsidR="534AE067" w:rsidP="3045E523" w:rsidRDefault="534AE067" w14:paraId="6CA28B34" w14:textId="124D0B9C">
            <w:pPr>
              <w:pStyle w:val="Normal"/>
            </w:pPr>
            <w:r w:rsidR="534AE067">
              <w:rPr/>
              <w:t>Objetivos Peri-Intubação</w:t>
            </w:r>
          </w:p>
        </w:tc>
      </w:tr>
      <w:tr w:rsidR="3045E523" w:rsidTr="3045E523" w14:paraId="46FFAABF">
        <w:trPr>
          <w:trHeight w:val="300"/>
        </w:trPr>
        <w:tc>
          <w:tcPr>
            <w:tcW w:w="4508" w:type="dxa"/>
            <w:tcMar/>
          </w:tcPr>
          <w:p w:rsidR="039993F1" w:rsidP="3045E523" w:rsidRDefault="039993F1" w14:paraId="2501D423" w14:textId="642665DE">
            <w:pPr>
              <w:ind w:left="-20" w:right="-20"/>
              <w:rPr>
                <w:rFonts w:ascii="Calibri" w:hAnsi="Calibri" w:eastAsia="Calibri" w:cs="Calibri"/>
                <w:noProof w:val="0"/>
                <w:sz w:val="22"/>
                <w:szCs w:val="22"/>
                <w:lang w:val="es-ES"/>
              </w:rPr>
            </w:pPr>
            <w:r w:rsidRPr="3045E523" w:rsidR="039993F1">
              <w:rPr>
                <w:rFonts w:ascii="Calibri" w:hAnsi="Calibri" w:eastAsia="Calibri" w:cs="Calibri"/>
                <w:noProof w:val="0"/>
                <w:sz w:val="22"/>
                <w:szCs w:val="22"/>
                <w:lang w:val="es-ES"/>
              </w:rPr>
              <w:t>Insuficiência</w:t>
            </w:r>
            <w:r w:rsidRPr="3045E523" w:rsidR="039993F1">
              <w:rPr>
                <w:rFonts w:ascii="Calibri" w:hAnsi="Calibri" w:eastAsia="Calibri" w:cs="Calibri"/>
                <w:noProof w:val="0"/>
                <w:sz w:val="22"/>
                <w:szCs w:val="22"/>
                <w:lang w:val="es-ES"/>
              </w:rPr>
              <w:t xml:space="preserve"> do ventrículo </w:t>
            </w:r>
            <w:r w:rsidRPr="3045E523" w:rsidR="039993F1">
              <w:rPr>
                <w:rFonts w:ascii="Calibri" w:hAnsi="Calibri" w:eastAsia="Calibri" w:cs="Calibri"/>
                <w:noProof w:val="0"/>
                <w:sz w:val="22"/>
                <w:szCs w:val="22"/>
                <w:lang w:val="es-ES"/>
              </w:rPr>
              <w:t>direito</w:t>
            </w:r>
          </w:p>
        </w:tc>
        <w:tc>
          <w:tcPr>
            <w:tcW w:w="4508" w:type="dxa"/>
            <w:tcMar/>
          </w:tcPr>
          <w:p w:rsidR="039993F1" w:rsidP="3045E523" w:rsidRDefault="039993F1" w14:paraId="7395AA88" w14:textId="52A332DE">
            <w:pPr>
              <w:ind w:left="-20" w:right="-20"/>
            </w:pPr>
            <w:r w:rsidRPr="3045E523" w:rsidR="039993F1">
              <w:rPr>
                <w:rFonts w:ascii="Calibri" w:hAnsi="Calibri" w:eastAsia="Calibri" w:cs="Calibri"/>
                <w:noProof w:val="0"/>
                <w:sz w:val="22"/>
                <w:szCs w:val="22"/>
                <w:lang w:val="es-ES"/>
              </w:rPr>
              <w:t>Otimizar a pós-carga do ventrículo direito</w:t>
            </w:r>
          </w:p>
          <w:p w:rsidR="039993F1" w:rsidP="3045E523" w:rsidRDefault="039993F1" w14:paraId="413768E7" w14:textId="29D9CE35">
            <w:pPr>
              <w:pStyle w:val="ListParagraph"/>
              <w:numPr>
                <w:ilvl w:val="0"/>
                <w:numId w:val="1"/>
              </w:numPr>
              <w:spacing w:before="0" w:beforeAutospacing="off" w:after="0" w:afterAutospacing="off"/>
              <w:ind w:left="-20" w:right="-20"/>
              <w:rPr>
                <w:rFonts w:ascii="Calibri" w:hAnsi="Calibri" w:eastAsia="Calibri" w:cs="Calibri"/>
                <w:noProof w:val="0"/>
                <w:sz w:val="22"/>
                <w:szCs w:val="22"/>
                <w:lang w:val="es-ES"/>
              </w:rPr>
            </w:pPr>
            <w:r w:rsidRPr="3045E523" w:rsidR="039993F1">
              <w:rPr>
                <w:rFonts w:ascii="Calibri" w:hAnsi="Calibri" w:eastAsia="Calibri" w:cs="Calibri"/>
                <w:noProof w:val="0"/>
                <w:sz w:val="22"/>
                <w:szCs w:val="22"/>
                <w:lang w:val="es-ES"/>
              </w:rPr>
              <w:t>Evitar hipercapnia</w:t>
            </w:r>
          </w:p>
          <w:p w:rsidR="039993F1" w:rsidP="3045E523" w:rsidRDefault="039993F1" w14:paraId="59907500" w14:textId="0E1F0538">
            <w:pPr>
              <w:pStyle w:val="ListParagraph"/>
              <w:numPr>
                <w:ilvl w:val="0"/>
                <w:numId w:val="1"/>
              </w:numPr>
              <w:spacing w:before="0" w:beforeAutospacing="off" w:after="0" w:afterAutospacing="off"/>
              <w:ind w:left="-20" w:right="-20"/>
              <w:rPr>
                <w:rFonts w:ascii="Calibri" w:hAnsi="Calibri" w:eastAsia="Calibri" w:cs="Calibri"/>
                <w:noProof w:val="0"/>
                <w:sz w:val="22"/>
                <w:szCs w:val="22"/>
                <w:lang w:val="es-ES"/>
              </w:rPr>
            </w:pPr>
            <w:r w:rsidRPr="3045E523" w:rsidR="039993F1">
              <w:rPr>
                <w:rFonts w:ascii="Calibri" w:hAnsi="Calibri" w:eastAsia="Calibri" w:cs="Calibri"/>
                <w:noProof w:val="0"/>
                <w:sz w:val="22"/>
                <w:szCs w:val="22"/>
                <w:lang w:val="es-ES"/>
              </w:rPr>
              <w:t>Evitar hipoxia</w:t>
            </w:r>
          </w:p>
          <w:p w:rsidR="039993F1" w:rsidP="3045E523" w:rsidRDefault="039993F1" w14:paraId="6391028D" w14:textId="3F078AA8">
            <w:pPr>
              <w:pStyle w:val="ListParagraph"/>
              <w:numPr>
                <w:ilvl w:val="0"/>
                <w:numId w:val="1"/>
              </w:numPr>
              <w:spacing w:before="0" w:beforeAutospacing="off" w:after="0" w:afterAutospacing="off"/>
              <w:ind w:left="-20" w:right="-20"/>
              <w:rPr>
                <w:rFonts w:ascii="Calibri" w:hAnsi="Calibri" w:eastAsia="Calibri" w:cs="Calibri"/>
                <w:noProof w:val="0"/>
                <w:sz w:val="22"/>
                <w:szCs w:val="22"/>
                <w:lang w:val="es-ES"/>
              </w:rPr>
            </w:pPr>
            <w:r w:rsidRPr="3045E523" w:rsidR="039993F1">
              <w:rPr>
                <w:rFonts w:ascii="Calibri" w:hAnsi="Calibri" w:eastAsia="Calibri" w:cs="Calibri"/>
                <w:noProof w:val="0"/>
                <w:sz w:val="22"/>
                <w:szCs w:val="22"/>
                <w:lang w:val="es-ES"/>
              </w:rPr>
              <w:t>Evitar acidose</w:t>
            </w:r>
          </w:p>
          <w:p w:rsidR="039993F1" w:rsidP="3045E523" w:rsidRDefault="039993F1" w14:paraId="7F37D397" w14:textId="73D9B07E">
            <w:pPr>
              <w:pStyle w:val="ListParagraph"/>
              <w:numPr>
                <w:ilvl w:val="0"/>
                <w:numId w:val="1"/>
              </w:numPr>
              <w:spacing w:before="0" w:beforeAutospacing="off" w:after="0" w:afterAutospacing="off"/>
              <w:ind w:left="-20" w:right="-20"/>
              <w:rPr>
                <w:rFonts w:ascii="Calibri" w:hAnsi="Calibri" w:eastAsia="Calibri" w:cs="Calibri"/>
                <w:noProof w:val="0"/>
                <w:sz w:val="22"/>
                <w:szCs w:val="22"/>
                <w:lang w:val="es-ES"/>
              </w:rPr>
            </w:pPr>
            <w:r w:rsidRPr="3045E523" w:rsidR="039993F1">
              <w:rPr>
                <w:rFonts w:ascii="Calibri" w:hAnsi="Calibri" w:eastAsia="Calibri" w:cs="Calibri"/>
                <w:noProof w:val="0"/>
                <w:sz w:val="22"/>
                <w:szCs w:val="22"/>
                <w:lang w:val="es-ES"/>
              </w:rPr>
              <w:t>Evitar estimulação simpática</w:t>
            </w:r>
          </w:p>
          <w:p w:rsidR="039993F1" w:rsidP="3045E523" w:rsidRDefault="039993F1" w14:paraId="1081CAF2" w14:textId="27472B8D">
            <w:pPr>
              <w:pStyle w:val="ListParagraph"/>
              <w:numPr>
                <w:ilvl w:val="0"/>
                <w:numId w:val="1"/>
              </w:numPr>
              <w:spacing w:before="0" w:beforeAutospacing="off" w:after="0" w:afterAutospacing="off"/>
              <w:ind w:left="-20" w:right="-20"/>
              <w:rPr>
                <w:rFonts w:ascii="Calibri" w:hAnsi="Calibri" w:eastAsia="Calibri" w:cs="Calibri"/>
                <w:noProof w:val="0"/>
                <w:sz w:val="22"/>
                <w:szCs w:val="22"/>
                <w:lang w:val="es-ES"/>
              </w:rPr>
            </w:pPr>
            <w:r w:rsidRPr="3045E523" w:rsidR="039993F1">
              <w:rPr>
                <w:rFonts w:ascii="Calibri" w:hAnsi="Calibri" w:eastAsia="Calibri" w:cs="Calibri"/>
                <w:noProof w:val="0"/>
                <w:sz w:val="22"/>
                <w:szCs w:val="22"/>
                <w:lang w:val="es-ES"/>
              </w:rPr>
              <w:t>Evitar alta pressão intratorácica</w:t>
            </w:r>
          </w:p>
          <w:p w:rsidR="039993F1" w:rsidP="3045E523" w:rsidRDefault="039993F1" w14:paraId="74E455F2" w14:textId="5CB8DD70">
            <w:pPr>
              <w:pStyle w:val="ListParagraph"/>
              <w:numPr>
                <w:ilvl w:val="0"/>
                <w:numId w:val="1"/>
              </w:numPr>
              <w:spacing w:before="0" w:beforeAutospacing="off" w:after="0" w:afterAutospacing="off"/>
              <w:ind w:left="-20" w:right="-20"/>
              <w:rPr>
                <w:noProof w:val="0"/>
                <w:lang w:val="es-ES"/>
              </w:rPr>
            </w:pPr>
            <w:r w:rsidRPr="3045E523" w:rsidR="039993F1">
              <w:rPr>
                <w:rFonts w:ascii="Calibri" w:hAnsi="Calibri" w:eastAsia="Calibri" w:cs="Calibri"/>
                <w:noProof w:val="0"/>
                <w:sz w:val="22"/>
                <w:szCs w:val="22"/>
                <w:lang w:val="es-ES"/>
              </w:rPr>
              <w:t>Considerar vasodilatadores pulmonares inalatórios</w:t>
            </w:r>
          </w:p>
          <w:p w:rsidR="039993F1" w:rsidP="3045E523" w:rsidRDefault="039993F1" w14:paraId="4D2E18AF" w14:textId="2974221B">
            <w:pPr>
              <w:pStyle w:val="Normal"/>
              <w:spacing w:before="0" w:beforeAutospacing="off" w:after="0" w:afterAutospacing="off"/>
              <w:ind w:left="0" w:right="-20"/>
              <w:rPr>
                <w:noProof w:val="0"/>
                <w:lang w:val="es-ES"/>
              </w:rPr>
            </w:pPr>
            <w:r w:rsidRPr="3045E523" w:rsidR="039993F1">
              <w:rPr>
                <w:noProof w:val="0"/>
                <w:lang w:val="es-ES"/>
              </w:rPr>
              <w:t xml:space="preserve">Garantir </w:t>
            </w:r>
            <w:r w:rsidRPr="3045E523" w:rsidR="039993F1">
              <w:rPr>
                <w:noProof w:val="0"/>
                <w:lang w:val="es-ES"/>
              </w:rPr>
              <w:t>indução</w:t>
            </w:r>
            <w:r w:rsidRPr="3045E523" w:rsidR="039993F1">
              <w:rPr>
                <w:noProof w:val="0"/>
                <w:lang w:val="es-ES"/>
              </w:rPr>
              <w:t xml:space="preserve"> </w:t>
            </w:r>
            <w:r w:rsidRPr="3045E523" w:rsidR="039993F1">
              <w:rPr>
                <w:noProof w:val="0"/>
                <w:lang w:val="es-ES"/>
              </w:rPr>
              <w:t>hemodinamicamente</w:t>
            </w:r>
            <w:r w:rsidRPr="3045E523" w:rsidR="039993F1">
              <w:rPr>
                <w:noProof w:val="0"/>
                <w:lang w:val="es-ES"/>
              </w:rPr>
              <w:t xml:space="preserve"> </w:t>
            </w:r>
            <w:r w:rsidRPr="3045E523" w:rsidR="039993F1">
              <w:rPr>
                <w:noProof w:val="0"/>
                <w:lang w:val="es-ES"/>
              </w:rPr>
              <w:t>estável</w:t>
            </w:r>
            <w:r w:rsidRPr="3045E523" w:rsidR="039993F1">
              <w:rPr>
                <w:noProof w:val="0"/>
                <w:lang w:val="es-ES"/>
              </w:rPr>
              <w:t xml:space="preserve"> </w:t>
            </w:r>
          </w:p>
          <w:p w:rsidR="039993F1" w:rsidP="3045E523" w:rsidRDefault="039993F1" w14:paraId="703989F0" w14:textId="679AD726">
            <w:pPr>
              <w:pStyle w:val="Normal"/>
              <w:spacing w:before="0" w:beforeAutospacing="off" w:after="0" w:afterAutospacing="off"/>
              <w:ind w:left="0" w:right="-20"/>
              <w:rPr>
                <w:noProof w:val="0"/>
                <w:lang w:val="es-ES"/>
              </w:rPr>
            </w:pPr>
            <w:r w:rsidRPr="3045E523" w:rsidR="039993F1">
              <w:rPr>
                <w:noProof w:val="0"/>
                <w:lang w:val="es-ES"/>
              </w:rPr>
              <w:t>Praticar</w:t>
            </w:r>
            <w:r w:rsidRPr="3045E523" w:rsidR="039993F1">
              <w:rPr>
                <w:noProof w:val="0"/>
                <w:lang w:val="es-ES"/>
              </w:rPr>
              <w:t xml:space="preserve"> manejo cuidadoso de fluidos, idealmente guiado por </w:t>
            </w:r>
            <w:r w:rsidRPr="3045E523" w:rsidR="039993F1">
              <w:rPr>
                <w:noProof w:val="0"/>
                <w:lang w:val="es-ES"/>
              </w:rPr>
              <w:t>ultrassom</w:t>
            </w:r>
            <w:r w:rsidRPr="3045E523" w:rsidR="039993F1">
              <w:rPr>
                <w:noProof w:val="0"/>
                <w:lang w:val="es-ES"/>
              </w:rPr>
              <w:t xml:space="preserve"> </w:t>
            </w:r>
            <w:r w:rsidRPr="3045E523" w:rsidR="039993F1">
              <w:rPr>
                <w:noProof w:val="0"/>
                <w:lang w:val="es-ES"/>
              </w:rPr>
              <w:t>point</w:t>
            </w:r>
            <w:r w:rsidRPr="3045E523" w:rsidR="039993F1">
              <w:rPr>
                <w:noProof w:val="0"/>
                <w:lang w:val="es-ES"/>
              </w:rPr>
              <w:t>-</w:t>
            </w:r>
            <w:r w:rsidRPr="3045E523" w:rsidR="039993F1">
              <w:rPr>
                <w:noProof w:val="0"/>
                <w:lang w:val="es-ES"/>
              </w:rPr>
              <w:t>of</w:t>
            </w:r>
            <w:r w:rsidRPr="3045E523" w:rsidR="039993F1">
              <w:rPr>
                <w:noProof w:val="0"/>
                <w:lang w:val="es-ES"/>
              </w:rPr>
              <w:t xml:space="preserve">-care </w:t>
            </w:r>
          </w:p>
          <w:p w:rsidR="039993F1" w:rsidP="3045E523" w:rsidRDefault="039993F1" w14:paraId="0CA86B92" w14:textId="04878323">
            <w:pPr>
              <w:pStyle w:val="Normal"/>
              <w:spacing w:before="0" w:beforeAutospacing="off" w:after="0" w:afterAutospacing="off"/>
              <w:ind w:left="0" w:right="-20"/>
              <w:rPr>
                <w:noProof w:val="0"/>
                <w:lang w:val="es-ES"/>
              </w:rPr>
            </w:pPr>
            <w:r w:rsidRPr="3045E523" w:rsidR="039993F1">
              <w:rPr>
                <w:noProof w:val="0"/>
                <w:lang w:val="es-ES"/>
              </w:rPr>
              <w:t xml:space="preserve">Minimizar aumentos </w:t>
            </w:r>
            <w:r w:rsidRPr="3045E523" w:rsidR="039993F1">
              <w:rPr>
                <w:noProof w:val="0"/>
                <w:lang w:val="es-ES"/>
              </w:rPr>
              <w:t>na</w:t>
            </w:r>
            <w:r w:rsidRPr="3045E523" w:rsidR="039993F1">
              <w:rPr>
                <w:noProof w:val="0"/>
                <w:lang w:val="es-ES"/>
              </w:rPr>
              <w:t xml:space="preserve"> </w:t>
            </w:r>
            <w:r w:rsidRPr="3045E523" w:rsidR="039993F1">
              <w:rPr>
                <w:noProof w:val="0"/>
                <w:lang w:val="es-ES"/>
              </w:rPr>
              <w:t>pressão</w:t>
            </w:r>
            <w:r w:rsidRPr="3045E523" w:rsidR="039993F1">
              <w:rPr>
                <w:noProof w:val="0"/>
                <w:lang w:val="es-ES"/>
              </w:rPr>
              <w:t xml:space="preserve"> intratorácica</w:t>
            </w:r>
          </w:p>
        </w:tc>
      </w:tr>
      <w:tr w:rsidR="3045E523" w:rsidTr="3045E523" w14:paraId="3DFDC30A">
        <w:trPr>
          <w:trHeight w:val="300"/>
        </w:trPr>
        <w:tc>
          <w:tcPr>
            <w:tcW w:w="4508" w:type="dxa"/>
            <w:tcMar/>
          </w:tcPr>
          <w:p w:rsidR="039993F1" w:rsidP="3045E523" w:rsidRDefault="039993F1" w14:paraId="2481E51B" w14:textId="41903529">
            <w:pPr>
              <w:pStyle w:val="Normal"/>
            </w:pPr>
            <w:r w:rsidRPr="3045E523" w:rsidR="039993F1">
              <w:rPr>
                <w:rFonts w:ascii="Calibri" w:hAnsi="Calibri" w:eastAsia="Calibri" w:cs="Calibri"/>
                <w:noProof w:val="0"/>
                <w:sz w:val="22"/>
                <w:szCs w:val="22"/>
                <w:lang w:val="es-ES"/>
              </w:rPr>
              <w:t>Tamponamento cardíaco</w:t>
            </w:r>
          </w:p>
        </w:tc>
        <w:tc>
          <w:tcPr>
            <w:tcW w:w="4508" w:type="dxa"/>
            <w:tcMar/>
          </w:tcPr>
          <w:p w:rsidR="039993F1" w:rsidP="3045E523" w:rsidRDefault="039993F1" w14:paraId="1018D192" w14:textId="0EB4F0AF">
            <w:pPr>
              <w:pStyle w:val="Normal"/>
            </w:pPr>
            <w:r w:rsidRPr="3045E523" w:rsidR="039993F1">
              <w:rPr>
                <w:rFonts w:ascii="Calibri" w:hAnsi="Calibri" w:eastAsia="Calibri" w:cs="Calibri"/>
                <w:noProof w:val="0"/>
                <w:sz w:val="22"/>
                <w:szCs w:val="22"/>
                <w:lang w:val="es-ES"/>
              </w:rPr>
              <w:t xml:space="preserve">Aumentar e </w:t>
            </w:r>
            <w:r w:rsidRPr="3045E523" w:rsidR="039993F1">
              <w:rPr>
                <w:rFonts w:ascii="Calibri" w:hAnsi="Calibri" w:eastAsia="Calibri" w:cs="Calibri"/>
                <w:noProof w:val="0"/>
                <w:sz w:val="22"/>
                <w:szCs w:val="22"/>
                <w:lang w:val="es-ES"/>
              </w:rPr>
              <w:t>manter</w:t>
            </w:r>
            <w:r w:rsidRPr="3045E523" w:rsidR="039993F1">
              <w:rPr>
                <w:rFonts w:ascii="Calibri" w:hAnsi="Calibri" w:eastAsia="Calibri" w:cs="Calibri"/>
                <w:noProof w:val="0"/>
                <w:sz w:val="22"/>
                <w:szCs w:val="22"/>
                <w:lang w:val="es-ES"/>
              </w:rPr>
              <w:t xml:space="preserve"> a </w:t>
            </w:r>
            <w:r w:rsidRPr="3045E523" w:rsidR="039993F1">
              <w:rPr>
                <w:rFonts w:ascii="Calibri" w:hAnsi="Calibri" w:eastAsia="Calibri" w:cs="Calibri"/>
                <w:noProof w:val="0"/>
                <w:sz w:val="22"/>
                <w:szCs w:val="22"/>
                <w:lang w:val="es-ES"/>
              </w:rPr>
              <w:t>pré</w:t>
            </w:r>
            <w:r w:rsidRPr="3045E523" w:rsidR="039993F1">
              <w:rPr>
                <w:rFonts w:ascii="Calibri" w:hAnsi="Calibri" w:eastAsia="Calibri" w:cs="Calibri"/>
                <w:noProof w:val="0"/>
                <w:sz w:val="22"/>
                <w:szCs w:val="22"/>
                <w:lang w:val="es-ES"/>
              </w:rPr>
              <w:t xml:space="preserve">-carga </w:t>
            </w:r>
          </w:p>
          <w:p w:rsidR="039993F1" w:rsidP="3045E523" w:rsidRDefault="039993F1" w14:paraId="268B3A88" w14:textId="027D1AAE">
            <w:pPr>
              <w:pStyle w:val="Normal"/>
            </w:pPr>
            <w:r w:rsidRPr="3045E523" w:rsidR="039993F1">
              <w:rPr>
                <w:rFonts w:ascii="Calibri" w:hAnsi="Calibri" w:eastAsia="Calibri" w:cs="Calibri"/>
                <w:noProof w:val="0"/>
                <w:sz w:val="22"/>
                <w:szCs w:val="22"/>
                <w:lang w:val="es-ES"/>
              </w:rPr>
              <w:t xml:space="preserve">Evitar bradicardia </w:t>
            </w:r>
          </w:p>
          <w:p w:rsidR="039993F1" w:rsidP="3045E523" w:rsidRDefault="039993F1" w14:paraId="1FF7CE09" w14:textId="5967CF39">
            <w:pPr>
              <w:pStyle w:val="Normal"/>
            </w:pPr>
            <w:r w:rsidRPr="3045E523" w:rsidR="039993F1">
              <w:rPr>
                <w:rFonts w:ascii="Calibri" w:hAnsi="Calibri" w:eastAsia="Calibri" w:cs="Calibri"/>
                <w:noProof w:val="0"/>
                <w:sz w:val="22"/>
                <w:szCs w:val="22"/>
                <w:lang w:val="es-ES"/>
              </w:rPr>
              <w:t>Manter</w:t>
            </w:r>
            <w:r w:rsidRPr="3045E523" w:rsidR="039993F1">
              <w:rPr>
                <w:rFonts w:ascii="Calibri" w:hAnsi="Calibri" w:eastAsia="Calibri" w:cs="Calibri"/>
                <w:noProof w:val="0"/>
                <w:sz w:val="22"/>
                <w:szCs w:val="22"/>
                <w:lang w:val="es-ES"/>
              </w:rPr>
              <w:t xml:space="preserve"> ritmo sinusal </w:t>
            </w:r>
            <w:r w:rsidRPr="3045E523" w:rsidR="039993F1">
              <w:rPr>
                <w:rFonts w:ascii="Calibri" w:hAnsi="Calibri" w:eastAsia="Calibri" w:cs="Calibri"/>
                <w:noProof w:val="0"/>
                <w:sz w:val="22"/>
                <w:szCs w:val="22"/>
                <w:lang w:val="es-ES"/>
              </w:rPr>
              <w:t>Manter</w:t>
            </w:r>
            <w:r w:rsidRPr="3045E523" w:rsidR="039993F1">
              <w:rPr>
                <w:rFonts w:ascii="Calibri" w:hAnsi="Calibri" w:eastAsia="Calibri" w:cs="Calibri"/>
                <w:noProof w:val="0"/>
                <w:sz w:val="22"/>
                <w:szCs w:val="22"/>
                <w:lang w:val="es-ES"/>
              </w:rPr>
              <w:t xml:space="preserve"> </w:t>
            </w:r>
            <w:r w:rsidRPr="3045E523" w:rsidR="039993F1">
              <w:rPr>
                <w:rFonts w:ascii="Calibri" w:hAnsi="Calibri" w:eastAsia="Calibri" w:cs="Calibri"/>
                <w:noProof w:val="0"/>
                <w:sz w:val="22"/>
                <w:szCs w:val="22"/>
                <w:lang w:val="es-ES"/>
              </w:rPr>
              <w:t>resistência</w:t>
            </w:r>
            <w:r w:rsidRPr="3045E523" w:rsidR="039993F1">
              <w:rPr>
                <w:rFonts w:ascii="Calibri" w:hAnsi="Calibri" w:eastAsia="Calibri" w:cs="Calibri"/>
                <w:noProof w:val="0"/>
                <w:sz w:val="22"/>
                <w:szCs w:val="22"/>
                <w:lang w:val="es-ES"/>
              </w:rPr>
              <w:t xml:space="preserve"> vascular </w:t>
            </w:r>
            <w:r w:rsidRPr="3045E523" w:rsidR="039993F1">
              <w:rPr>
                <w:rFonts w:ascii="Calibri" w:hAnsi="Calibri" w:eastAsia="Calibri" w:cs="Calibri"/>
                <w:noProof w:val="0"/>
                <w:sz w:val="22"/>
                <w:szCs w:val="22"/>
                <w:lang w:val="es-ES"/>
              </w:rPr>
              <w:t>sistêmica</w:t>
            </w:r>
            <w:r w:rsidRPr="3045E523" w:rsidR="039993F1">
              <w:rPr>
                <w:rFonts w:ascii="Calibri" w:hAnsi="Calibri" w:eastAsia="Calibri" w:cs="Calibri"/>
                <w:noProof w:val="0"/>
                <w:sz w:val="22"/>
                <w:szCs w:val="22"/>
                <w:lang w:val="es-ES"/>
              </w:rPr>
              <w:t xml:space="preserve"> </w:t>
            </w:r>
          </w:p>
          <w:p w:rsidR="039993F1" w:rsidP="3045E523" w:rsidRDefault="039993F1" w14:paraId="55B303FB" w14:textId="5A1B51FE">
            <w:pPr>
              <w:pStyle w:val="Normal"/>
            </w:pPr>
            <w:r w:rsidRPr="3045E523" w:rsidR="039993F1">
              <w:rPr>
                <w:rFonts w:ascii="Calibri" w:hAnsi="Calibri" w:eastAsia="Calibri" w:cs="Calibri"/>
                <w:noProof w:val="0"/>
                <w:sz w:val="22"/>
                <w:szCs w:val="22"/>
                <w:lang w:val="es-ES"/>
              </w:rPr>
              <w:t xml:space="preserve">Minimizar aumentos </w:t>
            </w:r>
            <w:r w:rsidRPr="3045E523" w:rsidR="039993F1">
              <w:rPr>
                <w:rFonts w:ascii="Calibri" w:hAnsi="Calibri" w:eastAsia="Calibri" w:cs="Calibri"/>
                <w:noProof w:val="0"/>
                <w:sz w:val="22"/>
                <w:szCs w:val="22"/>
                <w:lang w:val="es-ES"/>
              </w:rPr>
              <w:t>na</w:t>
            </w:r>
            <w:r w:rsidRPr="3045E523" w:rsidR="039993F1">
              <w:rPr>
                <w:rFonts w:ascii="Calibri" w:hAnsi="Calibri" w:eastAsia="Calibri" w:cs="Calibri"/>
                <w:noProof w:val="0"/>
                <w:sz w:val="22"/>
                <w:szCs w:val="22"/>
                <w:lang w:val="es-ES"/>
              </w:rPr>
              <w:t xml:space="preserve"> </w:t>
            </w:r>
            <w:r w:rsidRPr="3045E523" w:rsidR="039993F1">
              <w:rPr>
                <w:rFonts w:ascii="Calibri" w:hAnsi="Calibri" w:eastAsia="Calibri" w:cs="Calibri"/>
                <w:noProof w:val="0"/>
                <w:sz w:val="22"/>
                <w:szCs w:val="22"/>
                <w:lang w:val="es-ES"/>
              </w:rPr>
              <w:t>pressão</w:t>
            </w:r>
            <w:r w:rsidRPr="3045E523" w:rsidR="039993F1">
              <w:rPr>
                <w:rFonts w:ascii="Calibri" w:hAnsi="Calibri" w:eastAsia="Calibri" w:cs="Calibri"/>
                <w:noProof w:val="0"/>
                <w:sz w:val="22"/>
                <w:szCs w:val="22"/>
                <w:lang w:val="es-ES"/>
              </w:rPr>
              <w:t xml:space="preserve"> intratorácica</w:t>
            </w:r>
          </w:p>
        </w:tc>
      </w:tr>
      <w:tr w:rsidR="3045E523" w:rsidTr="3045E523" w14:paraId="01AB32F6">
        <w:trPr>
          <w:trHeight w:val="300"/>
        </w:trPr>
        <w:tc>
          <w:tcPr>
            <w:tcW w:w="4508" w:type="dxa"/>
            <w:tcMar/>
          </w:tcPr>
          <w:p w:rsidR="039993F1" w:rsidP="3045E523" w:rsidRDefault="039993F1" w14:paraId="5D06B258" w14:textId="089F348B">
            <w:pPr>
              <w:pStyle w:val="Normal"/>
            </w:pPr>
            <w:r w:rsidRPr="3045E523" w:rsidR="039993F1">
              <w:rPr>
                <w:rFonts w:ascii="Calibri" w:hAnsi="Calibri" w:eastAsia="Calibri" w:cs="Calibri"/>
                <w:noProof w:val="0"/>
                <w:sz w:val="22"/>
                <w:szCs w:val="22"/>
                <w:lang w:val="es-ES"/>
              </w:rPr>
              <w:t>Estenose aórtica</w:t>
            </w:r>
          </w:p>
        </w:tc>
        <w:tc>
          <w:tcPr>
            <w:tcW w:w="4508" w:type="dxa"/>
            <w:tcMar/>
          </w:tcPr>
          <w:p w:rsidR="039993F1" w:rsidP="3045E523" w:rsidRDefault="039993F1" w14:paraId="00092DD0" w14:textId="107524C1">
            <w:pPr>
              <w:pStyle w:val="Normal"/>
            </w:pPr>
            <w:r w:rsidRPr="3045E523" w:rsidR="039993F1">
              <w:rPr>
                <w:rFonts w:ascii="Calibri" w:hAnsi="Calibri" w:eastAsia="Calibri" w:cs="Calibri"/>
                <w:noProof w:val="0"/>
                <w:sz w:val="22"/>
                <w:szCs w:val="22"/>
                <w:lang w:val="es-ES"/>
              </w:rPr>
              <w:t>Manter</w:t>
            </w:r>
            <w:r w:rsidRPr="3045E523" w:rsidR="039993F1">
              <w:rPr>
                <w:rFonts w:ascii="Calibri" w:hAnsi="Calibri" w:eastAsia="Calibri" w:cs="Calibri"/>
                <w:noProof w:val="0"/>
                <w:sz w:val="22"/>
                <w:szCs w:val="22"/>
                <w:lang w:val="es-ES"/>
              </w:rPr>
              <w:t xml:space="preserve"> </w:t>
            </w:r>
            <w:r w:rsidRPr="3045E523" w:rsidR="039993F1">
              <w:rPr>
                <w:rFonts w:ascii="Calibri" w:hAnsi="Calibri" w:eastAsia="Calibri" w:cs="Calibri"/>
                <w:noProof w:val="0"/>
                <w:sz w:val="22"/>
                <w:szCs w:val="22"/>
                <w:lang w:val="es-ES"/>
              </w:rPr>
              <w:t>pré</w:t>
            </w:r>
            <w:r w:rsidRPr="3045E523" w:rsidR="039993F1">
              <w:rPr>
                <w:rFonts w:ascii="Calibri" w:hAnsi="Calibri" w:eastAsia="Calibri" w:cs="Calibri"/>
                <w:noProof w:val="0"/>
                <w:sz w:val="22"/>
                <w:szCs w:val="22"/>
                <w:lang w:val="es-ES"/>
              </w:rPr>
              <w:t xml:space="preserve">-carga </w:t>
            </w:r>
          </w:p>
          <w:p w:rsidR="039993F1" w:rsidP="3045E523" w:rsidRDefault="039993F1" w14:paraId="2C8B0A0F" w14:textId="647F6B33">
            <w:pPr>
              <w:pStyle w:val="Normal"/>
            </w:pPr>
            <w:r w:rsidRPr="3045E523" w:rsidR="039993F1">
              <w:rPr>
                <w:rFonts w:ascii="Calibri" w:hAnsi="Calibri" w:eastAsia="Calibri" w:cs="Calibri"/>
                <w:noProof w:val="0"/>
                <w:sz w:val="22"/>
                <w:szCs w:val="22"/>
                <w:lang w:val="es-ES"/>
              </w:rPr>
              <w:t>Frequência</w:t>
            </w:r>
            <w:r w:rsidRPr="3045E523" w:rsidR="039993F1">
              <w:rPr>
                <w:rFonts w:ascii="Calibri" w:hAnsi="Calibri" w:eastAsia="Calibri" w:cs="Calibri"/>
                <w:noProof w:val="0"/>
                <w:sz w:val="22"/>
                <w:szCs w:val="22"/>
                <w:lang w:val="es-ES"/>
              </w:rPr>
              <w:t xml:space="preserve"> cardíaca </w:t>
            </w:r>
            <w:r w:rsidRPr="3045E523" w:rsidR="039993F1">
              <w:rPr>
                <w:rFonts w:ascii="Calibri" w:hAnsi="Calibri" w:eastAsia="Calibri" w:cs="Calibri"/>
                <w:noProof w:val="0"/>
                <w:sz w:val="22"/>
                <w:szCs w:val="22"/>
                <w:lang w:val="es-ES"/>
              </w:rPr>
              <w:t>baixo</w:t>
            </w:r>
            <w:r w:rsidRPr="3045E523" w:rsidR="039993F1">
              <w:rPr>
                <w:rFonts w:ascii="Calibri" w:hAnsi="Calibri" w:eastAsia="Calibri" w:cs="Calibri"/>
                <w:noProof w:val="0"/>
                <w:sz w:val="22"/>
                <w:szCs w:val="22"/>
                <w:lang w:val="es-ES"/>
              </w:rPr>
              <w:t xml:space="preserve">-normal </w:t>
            </w:r>
          </w:p>
          <w:p w:rsidR="039993F1" w:rsidP="3045E523" w:rsidRDefault="039993F1" w14:paraId="4995627E" w14:textId="4B2DF3C7">
            <w:pPr>
              <w:pStyle w:val="Normal"/>
              <w:rPr>
                <w:rFonts w:ascii="Calibri" w:hAnsi="Calibri" w:eastAsia="Calibri" w:cs="Calibri"/>
                <w:noProof w:val="0"/>
                <w:sz w:val="22"/>
                <w:szCs w:val="22"/>
                <w:lang w:val="es-ES"/>
              </w:rPr>
            </w:pPr>
            <w:r w:rsidRPr="3045E523" w:rsidR="039993F1">
              <w:rPr>
                <w:rFonts w:ascii="Calibri" w:hAnsi="Calibri" w:eastAsia="Calibri" w:cs="Calibri"/>
                <w:noProof w:val="0"/>
                <w:sz w:val="22"/>
                <w:szCs w:val="22"/>
                <w:lang w:val="es-ES"/>
              </w:rPr>
              <w:t>Manter</w:t>
            </w:r>
            <w:r w:rsidRPr="3045E523" w:rsidR="039993F1">
              <w:rPr>
                <w:rFonts w:ascii="Calibri" w:hAnsi="Calibri" w:eastAsia="Calibri" w:cs="Calibri"/>
                <w:noProof w:val="0"/>
                <w:sz w:val="22"/>
                <w:szCs w:val="22"/>
                <w:lang w:val="es-ES"/>
              </w:rPr>
              <w:t xml:space="preserve"> ritmo sinusal </w:t>
            </w:r>
          </w:p>
          <w:p w:rsidR="039993F1" w:rsidP="3045E523" w:rsidRDefault="039993F1" w14:paraId="2EB30D4C" w14:textId="61E043B7">
            <w:pPr>
              <w:pStyle w:val="Normal"/>
              <w:rPr>
                <w:rFonts w:ascii="Calibri" w:hAnsi="Calibri" w:eastAsia="Calibri" w:cs="Calibri"/>
                <w:noProof w:val="0"/>
                <w:sz w:val="22"/>
                <w:szCs w:val="22"/>
                <w:lang w:val="es-ES"/>
              </w:rPr>
            </w:pPr>
            <w:r w:rsidRPr="3045E523" w:rsidR="039993F1">
              <w:rPr>
                <w:rFonts w:ascii="Calibri" w:hAnsi="Calibri" w:eastAsia="Calibri" w:cs="Calibri"/>
                <w:noProof w:val="0"/>
                <w:sz w:val="22"/>
                <w:szCs w:val="22"/>
                <w:lang w:val="es-ES"/>
              </w:rPr>
              <w:t>Manter</w:t>
            </w:r>
            <w:r w:rsidRPr="3045E523" w:rsidR="039993F1">
              <w:rPr>
                <w:rFonts w:ascii="Calibri" w:hAnsi="Calibri" w:eastAsia="Calibri" w:cs="Calibri"/>
                <w:noProof w:val="0"/>
                <w:sz w:val="22"/>
                <w:szCs w:val="22"/>
                <w:lang w:val="es-ES"/>
              </w:rPr>
              <w:t xml:space="preserve"> </w:t>
            </w:r>
            <w:r w:rsidRPr="3045E523" w:rsidR="039993F1">
              <w:rPr>
                <w:rFonts w:ascii="Calibri" w:hAnsi="Calibri" w:eastAsia="Calibri" w:cs="Calibri"/>
                <w:noProof w:val="0"/>
                <w:sz w:val="22"/>
                <w:szCs w:val="22"/>
                <w:lang w:val="es-ES"/>
              </w:rPr>
              <w:t>resistência</w:t>
            </w:r>
            <w:r w:rsidRPr="3045E523" w:rsidR="039993F1">
              <w:rPr>
                <w:rFonts w:ascii="Calibri" w:hAnsi="Calibri" w:eastAsia="Calibri" w:cs="Calibri"/>
                <w:noProof w:val="0"/>
                <w:sz w:val="22"/>
                <w:szCs w:val="22"/>
                <w:lang w:val="es-ES"/>
              </w:rPr>
              <w:t xml:space="preserve"> vascular </w:t>
            </w:r>
            <w:r w:rsidRPr="3045E523" w:rsidR="039993F1">
              <w:rPr>
                <w:rFonts w:ascii="Calibri" w:hAnsi="Calibri" w:eastAsia="Calibri" w:cs="Calibri"/>
                <w:noProof w:val="0"/>
                <w:sz w:val="22"/>
                <w:szCs w:val="22"/>
                <w:lang w:val="es-ES"/>
              </w:rPr>
              <w:t>sistêmica</w:t>
            </w:r>
            <w:r w:rsidRPr="3045E523" w:rsidR="039993F1">
              <w:rPr>
                <w:rFonts w:ascii="Calibri" w:hAnsi="Calibri" w:eastAsia="Calibri" w:cs="Calibri"/>
                <w:noProof w:val="0"/>
                <w:sz w:val="22"/>
                <w:szCs w:val="22"/>
                <w:lang w:val="es-ES"/>
              </w:rPr>
              <w:t xml:space="preserve"> e </w:t>
            </w:r>
            <w:r w:rsidRPr="3045E523" w:rsidR="039993F1">
              <w:rPr>
                <w:rFonts w:ascii="Calibri" w:hAnsi="Calibri" w:eastAsia="Calibri" w:cs="Calibri"/>
                <w:noProof w:val="0"/>
                <w:sz w:val="22"/>
                <w:szCs w:val="22"/>
                <w:lang w:val="es-ES"/>
              </w:rPr>
              <w:t>pressão</w:t>
            </w:r>
            <w:r w:rsidRPr="3045E523" w:rsidR="039993F1">
              <w:rPr>
                <w:rFonts w:ascii="Calibri" w:hAnsi="Calibri" w:eastAsia="Calibri" w:cs="Calibri"/>
                <w:noProof w:val="0"/>
                <w:sz w:val="22"/>
                <w:szCs w:val="22"/>
                <w:lang w:val="es-ES"/>
              </w:rPr>
              <w:t xml:space="preserve"> de </w:t>
            </w:r>
            <w:r w:rsidRPr="3045E523" w:rsidR="039993F1">
              <w:rPr>
                <w:rFonts w:ascii="Calibri" w:hAnsi="Calibri" w:eastAsia="Calibri" w:cs="Calibri"/>
                <w:noProof w:val="0"/>
                <w:sz w:val="22"/>
                <w:szCs w:val="22"/>
                <w:lang w:val="es-ES"/>
              </w:rPr>
              <w:t>perfusão</w:t>
            </w:r>
            <w:r w:rsidRPr="3045E523" w:rsidR="039993F1">
              <w:rPr>
                <w:rFonts w:ascii="Calibri" w:hAnsi="Calibri" w:eastAsia="Calibri" w:cs="Calibri"/>
                <w:noProof w:val="0"/>
                <w:sz w:val="22"/>
                <w:szCs w:val="22"/>
                <w:lang w:val="es-ES"/>
              </w:rPr>
              <w:t xml:space="preserve"> </w:t>
            </w:r>
            <w:r w:rsidRPr="3045E523" w:rsidR="039993F1">
              <w:rPr>
                <w:rFonts w:ascii="Calibri" w:hAnsi="Calibri" w:eastAsia="Calibri" w:cs="Calibri"/>
                <w:noProof w:val="0"/>
                <w:sz w:val="22"/>
                <w:szCs w:val="22"/>
                <w:lang w:val="es-ES"/>
              </w:rPr>
              <w:t>coronariana</w:t>
            </w:r>
          </w:p>
        </w:tc>
      </w:tr>
      <w:tr w:rsidR="3045E523" w:rsidTr="3045E523" w14:paraId="2AFC712D">
        <w:trPr>
          <w:trHeight w:val="300"/>
        </w:trPr>
        <w:tc>
          <w:tcPr>
            <w:tcW w:w="4508" w:type="dxa"/>
            <w:tcMar/>
          </w:tcPr>
          <w:p w:rsidR="039993F1" w:rsidP="3045E523" w:rsidRDefault="039993F1" w14:paraId="2F53E2BA" w14:textId="55EE95F9">
            <w:pPr>
              <w:pStyle w:val="Normal"/>
            </w:pPr>
            <w:r w:rsidRPr="3045E523" w:rsidR="039993F1">
              <w:rPr>
                <w:rFonts w:ascii="Calibri" w:hAnsi="Calibri" w:eastAsia="Calibri" w:cs="Calibri"/>
                <w:noProof w:val="0"/>
                <w:sz w:val="22"/>
                <w:szCs w:val="22"/>
                <w:lang w:val="es-ES"/>
              </w:rPr>
              <w:t>Estenose mitral</w:t>
            </w:r>
          </w:p>
        </w:tc>
        <w:tc>
          <w:tcPr>
            <w:tcW w:w="4508" w:type="dxa"/>
            <w:tcMar/>
          </w:tcPr>
          <w:p w:rsidR="039993F1" w:rsidP="3045E523" w:rsidRDefault="039993F1" w14:paraId="70EE659A" w14:textId="4F62FDEB">
            <w:pPr>
              <w:pStyle w:val="Normal"/>
            </w:pPr>
            <w:r w:rsidRPr="3045E523" w:rsidR="039993F1">
              <w:rPr>
                <w:rFonts w:ascii="Calibri" w:hAnsi="Calibri" w:eastAsia="Calibri" w:cs="Calibri"/>
                <w:noProof w:val="0"/>
                <w:sz w:val="22"/>
                <w:szCs w:val="22"/>
                <w:lang w:val="es-ES"/>
              </w:rPr>
              <w:t>Manter</w:t>
            </w:r>
            <w:r w:rsidRPr="3045E523" w:rsidR="039993F1">
              <w:rPr>
                <w:rFonts w:ascii="Calibri" w:hAnsi="Calibri" w:eastAsia="Calibri" w:cs="Calibri"/>
                <w:noProof w:val="0"/>
                <w:sz w:val="22"/>
                <w:szCs w:val="22"/>
                <w:lang w:val="es-ES"/>
              </w:rPr>
              <w:t xml:space="preserve"> </w:t>
            </w:r>
            <w:r w:rsidRPr="3045E523" w:rsidR="039993F1">
              <w:rPr>
                <w:rFonts w:ascii="Calibri" w:hAnsi="Calibri" w:eastAsia="Calibri" w:cs="Calibri"/>
                <w:noProof w:val="0"/>
                <w:sz w:val="22"/>
                <w:szCs w:val="22"/>
                <w:lang w:val="es-ES"/>
              </w:rPr>
              <w:t>euvolemia</w:t>
            </w:r>
            <w:r w:rsidRPr="3045E523" w:rsidR="039993F1">
              <w:rPr>
                <w:rFonts w:ascii="Calibri" w:hAnsi="Calibri" w:eastAsia="Calibri" w:cs="Calibri"/>
                <w:noProof w:val="0"/>
                <w:sz w:val="22"/>
                <w:szCs w:val="22"/>
                <w:lang w:val="es-ES"/>
              </w:rPr>
              <w:t xml:space="preserve"> </w:t>
            </w:r>
            <w:r w:rsidRPr="3045E523" w:rsidR="039993F1">
              <w:rPr>
                <w:rFonts w:ascii="Calibri" w:hAnsi="Calibri" w:eastAsia="Calibri" w:cs="Calibri"/>
                <w:noProof w:val="0"/>
                <w:sz w:val="22"/>
                <w:szCs w:val="22"/>
                <w:lang w:val="es-ES"/>
              </w:rPr>
              <w:t>Frequência</w:t>
            </w:r>
            <w:r w:rsidRPr="3045E523" w:rsidR="039993F1">
              <w:rPr>
                <w:rFonts w:ascii="Calibri" w:hAnsi="Calibri" w:eastAsia="Calibri" w:cs="Calibri"/>
                <w:noProof w:val="0"/>
                <w:sz w:val="22"/>
                <w:szCs w:val="22"/>
                <w:lang w:val="es-ES"/>
              </w:rPr>
              <w:t xml:space="preserve"> cardíaca </w:t>
            </w:r>
            <w:r w:rsidRPr="3045E523" w:rsidR="039993F1">
              <w:rPr>
                <w:rFonts w:ascii="Calibri" w:hAnsi="Calibri" w:eastAsia="Calibri" w:cs="Calibri"/>
                <w:noProof w:val="0"/>
                <w:sz w:val="22"/>
                <w:szCs w:val="22"/>
                <w:lang w:val="es-ES"/>
              </w:rPr>
              <w:t>baixo</w:t>
            </w:r>
            <w:r w:rsidRPr="3045E523" w:rsidR="039993F1">
              <w:rPr>
                <w:rFonts w:ascii="Calibri" w:hAnsi="Calibri" w:eastAsia="Calibri" w:cs="Calibri"/>
                <w:noProof w:val="0"/>
                <w:sz w:val="22"/>
                <w:szCs w:val="22"/>
                <w:lang w:val="es-ES"/>
              </w:rPr>
              <w:t xml:space="preserve">-normal </w:t>
            </w:r>
          </w:p>
          <w:p w:rsidR="039993F1" w:rsidP="3045E523" w:rsidRDefault="039993F1" w14:paraId="23E726AA" w14:textId="76931464">
            <w:pPr>
              <w:pStyle w:val="Normal"/>
            </w:pPr>
            <w:r w:rsidRPr="3045E523" w:rsidR="039993F1">
              <w:rPr>
                <w:rFonts w:ascii="Calibri" w:hAnsi="Calibri" w:eastAsia="Calibri" w:cs="Calibri"/>
                <w:noProof w:val="0"/>
                <w:sz w:val="22"/>
                <w:szCs w:val="22"/>
                <w:lang w:val="es-ES"/>
              </w:rPr>
              <w:t>Manter</w:t>
            </w:r>
            <w:r w:rsidRPr="3045E523" w:rsidR="039993F1">
              <w:rPr>
                <w:rFonts w:ascii="Calibri" w:hAnsi="Calibri" w:eastAsia="Calibri" w:cs="Calibri"/>
                <w:noProof w:val="0"/>
                <w:sz w:val="22"/>
                <w:szCs w:val="22"/>
                <w:lang w:val="es-ES"/>
              </w:rPr>
              <w:t xml:space="preserve"> ritmo sinusal </w:t>
            </w:r>
            <w:r w:rsidRPr="3045E523" w:rsidR="039993F1">
              <w:rPr>
                <w:rFonts w:ascii="Calibri" w:hAnsi="Calibri" w:eastAsia="Calibri" w:cs="Calibri"/>
                <w:noProof w:val="0"/>
                <w:sz w:val="22"/>
                <w:szCs w:val="22"/>
                <w:lang w:val="es-ES"/>
              </w:rPr>
              <w:t>e</w:t>
            </w:r>
            <w:r w:rsidRPr="3045E523" w:rsidR="039993F1">
              <w:rPr>
                <w:rFonts w:ascii="Calibri" w:hAnsi="Calibri" w:eastAsia="Calibri" w:cs="Calibri"/>
                <w:noProof w:val="0"/>
                <w:sz w:val="22"/>
                <w:szCs w:val="22"/>
                <w:lang w:val="es-ES"/>
              </w:rPr>
              <w:t xml:space="preserve"> tratar arritmias </w:t>
            </w:r>
            <w:r w:rsidRPr="3045E523" w:rsidR="039993F1">
              <w:rPr>
                <w:rFonts w:ascii="Calibri" w:hAnsi="Calibri" w:eastAsia="Calibri" w:cs="Calibri"/>
                <w:noProof w:val="0"/>
                <w:sz w:val="22"/>
                <w:szCs w:val="22"/>
                <w:lang w:val="es-ES"/>
              </w:rPr>
              <w:t>agressivamente</w:t>
            </w:r>
            <w:r w:rsidRPr="3045E523" w:rsidR="039993F1">
              <w:rPr>
                <w:rFonts w:ascii="Calibri" w:hAnsi="Calibri" w:eastAsia="Calibri" w:cs="Calibri"/>
                <w:noProof w:val="0"/>
                <w:sz w:val="22"/>
                <w:szCs w:val="22"/>
                <w:lang w:val="es-ES"/>
              </w:rPr>
              <w:t xml:space="preserve"> </w:t>
            </w:r>
          </w:p>
          <w:p w:rsidR="039993F1" w:rsidP="3045E523" w:rsidRDefault="039993F1" w14:paraId="0E130C20" w14:textId="673AF803">
            <w:pPr>
              <w:pStyle w:val="Normal"/>
              <w:rPr>
                <w:rFonts w:ascii="Calibri" w:hAnsi="Calibri" w:eastAsia="Calibri" w:cs="Calibri"/>
                <w:noProof w:val="0"/>
                <w:sz w:val="22"/>
                <w:szCs w:val="22"/>
                <w:lang w:val="es-ES"/>
              </w:rPr>
            </w:pPr>
            <w:r w:rsidRPr="3045E523" w:rsidR="039993F1">
              <w:rPr>
                <w:rFonts w:ascii="Calibri" w:hAnsi="Calibri" w:eastAsia="Calibri" w:cs="Calibri"/>
                <w:noProof w:val="0"/>
                <w:sz w:val="22"/>
                <w:szCs w:val="22"/>
                <w:lang w:val="es-ES"/>
              </w:rPr>
              <w:t>Otimizar</w:t>
            </w:r>
            <w:r w:rsidRPr="3045E523" w:rsidR="039993F1">
              <w:rPr>
                <w:rFonts w:ascii="Calibri" w:hAnsi="Calibri" w:eastAsia="Calibri" w:cs="Calibri"/>
                <w:noProof w:val="0"/>
                <w:sz w:val="22"/>
                <w:szCs w:val="22"/>
                <w:lang w:val="es-ES"/>
              </w:rPr>
              <w:t xml:space="preserve"> a </w:t>
            </w:r>
            <w:r w:rsidRPr="3045E523" w:rsidR="039993F1">
              <w:rPr>
                <w:rFonts w:ascii="Calibri" w:hAnsi="Calibri" w:eastAsia="Calibri" w:cs="Calibri"/>
                <w:noProof w:val="0"/>
                <w:sz w:val="22"/>
                <w:szCs w:val="22"/>
                <w:lang w:val="es-ES"/>
              </w:rPr>
              <w:t>pós</w:t>
            </w:r>
            <w:r w:rsidRPr="3045E523" w:rsidR="039993F1">
              <w:rPr>
                <w:rFonts w:ascii="Calibri" w:hAnsi="Calibri" w:eastAsia="Calibri" w:cs="Calibri"/>
                <w:noProof w:val="0"/>
                <w:sz w:val="22"/>
                <w:szCs w:val="22"/>
                <w:lang w:val="es-ES"/>
              </w:rPr>
              <w:t xml:space="preserve">-carga do ventrículo </w:t>
            </w:r>
            <w:r w:rsidRPr="3045E523" w:rsidR="039993F1">
              <w:rPr>
                <w:rFonts w:ascii="Calibri" w:hAnsi="Calibri" w:eastAsia="Calibri" w:cs="Calibri"/>
                <w:noProof w:val="0"/>
                <w:sz w:val="22"/>
                <w:szCs w:val="22"/>
                <w:lang w:val="es-ES"/>
              </w:rPr>
              <w:t>direito</w:t>
            </w:r>
            <w:r w:rsidRPr="3045E523" w:rsidR="039993F1">
              <w:rPr>
                <w:rFonts w:ascii="Calibri" w:hAnsi="Calibri" w:eastAsia="Calibri" w:cs="Calibri"/>
                <w:noProof w:val="0"/>
                <w:sz w:val="22"/>
                <w:szCs w:val="22"/>
                <w:lang w:val="es-ES"/>
              </w:rPr>
              <w:t xml:space="preserve"> como </w:t>
            </w:r>
            <w:r w:rsidRPr="3045E523" w:rsidR="039993F1">
              <w:rPr>
                <w:rFonts w:ascii="Calibri" w:hAnsi="Calibri" w:eastAsia="Calibri" w:cs="Calibri"/>
                <w:noProof w:val="0"/>
                <w:sz w:val="22"/>
                <w:szCs w:val="22"/>
                <w:lang w:val="es-ES"/>
              </w:rPr>
              <w:t>na</w:t>
            </w:r>
            <w:r w:rsidRPr="3045E523" w:rsidR="039993F1">
              <w:rPr>
                <w:rFonts w:ascii="Calibri" w:hAnsi="Calibri" w:eastAsia="Calibri" w:cs="Calibri"/>
                <w:noProof w:val="0"/>
                <w:sz w:val="22"/>
                <w:szCs w:val="22"/>
                <w:lang w:val="es-ES"/>
              </w:rPr>
              <w:t xml:space="preserve"> </w:t>
            </w:r>
            <w:r w:rsidRPr="3045E523" w:rsidR="039993F1">
              <w:rPr>
                <w:rFonts w:ascii="Calibri" w:hAnsi="Calibri" w:eastAsia="Calibri" w:cs="Calibri"/>
                <w:noProof w:val="0"/>
                <w:sz w:val="22"/>
                <w:szCs w:val="22"/>
                <w:lang w:val="es-ES"/>
              </w:rPr>
              <w:t>insuficiência</w:t>
            </w:r>
            <w:r w:rsidRPr="3045E523" w:rsidR="039993F1">
              <w:rPr>
                <w:rFonts w:ascii="Calibri" w:hAnsi="Calibri" w:eastAsia="Calibri" w:cs="Calibri"/>
                <w:noProof w:val="0"/>
                <w:sz w:val="22"/>
                <w:szCs w:val="22"/>
                <w:lang w:val="es-ES"/>
              </w:rPr>
              <w:t xml:space="preserve"> do ventrículo </w:t>
            </w:r>
            <w:r w:rsidRPr="3045E523" w:rsidR="039993F1">
              <w:rPr>
                <w:rFonts w:ascii="Calibri" w:hAnsi="Calibri" w:eastAsia="Calibri" w:cs="Calibri"/>
                <w:noProof w:val="0"/>
                <w:sz w:val="22"/>
                <w:szCs w:val="22"/>
                <w:lang w:val="es-ES"/>
              </w:rPr>
              <w:t>direito</w:t>
            </w:r>
          </w:p>
        </w:tc>
      </w:tr>
      <w:tr w:rsidR="3045E523" w:rsidTr="3045E523" w14:paraId="3CD9BE2F">
        <w:trPr>
          <w:trHeight w:val="300"/>
        </w:trPr>
        <w:tc>
          <w:tcPr>
            <w:tcW w:w="4508" w:type="dxa"/>
            <w:tcMar/>
          </w:tcPr>
          <w:p w:rsidR="039993F1" w:rsidP="3045E523" w:rsidRDefault="039993F1" w14:paraId="6EEEF99F" w14:textId="4616532F">
            <w:pPr>
              <w:pStyle w:val="Normal"/>
            </w:pPr>
            <w:r w:rsidRPr="3045E523" w:rsidR="039993F1">
              <w:rPr>
                <w:rFonts w:ascii="Calibri" w:hAnsi="Calibri" w:eastAsia="Calibri" w:cs="Calibri"/>
                <w:noProof w:val="0"/>
                <w:sz w:val="22"/>
                <w:szCs w:val="22"/>
                <w:lang w:val="es-ES"/>
              </w:rPr>
              <w:t>Estado hipermetabólico</w:t>
            </w:r>
          </w:p>
        </w:tc>
        <w:tc>
          <w:tcPr>
            <w:tcW w:w="4508" w:type="dxa"/>
            <w:tcMar/>
          </w:tcPr>
          <w:p w:rsidR="039993F1" w:rsidP="3045E523" w:rsidRDefault="039993F1" w14:paraId="722D0725" w14:textId="7055FC5F">
            <w:pPr>
              <w:pStyle w:val="Normal"/>
            </w:pPr>
            <w:r w:rsidRPr="3045E523" w:rsidR="039993F1">
              <w:rPr>
                <w:rFonts w:ascii="Calibri" w:hAnsi="Calibri" w:eastAsia="Calibri" w:cs="Calibri"/>
                <w:noProof w:val="0"/>
                <w:sz w:val="22"/>
                <w:szCs w:val="22"/>
                <w:lang w:val="es-ES"/>
              </w:rPr>
              <w:t>Alto risco para rápida dessaturação, considerar tratamento como hipoxia severa</w:t>
            </w:r>
          </w:p>
        </w:tc>
      </w:tr>
    </w:tbl>
    <w:p w:rsidR="039993F1" w:rsidP="3045E523" w:rsidRDefault="039993F1" w14:paraId="0DFA5736" w14:textId="3234D8AB">
      <w:pPr>
        <w:pStyle w:val="Normal"/>
      </w:pPr>
      <w:r w:rsidR="039993F1">
        <w:rPr/>
        <w:t>Tabela 4. Resumo dos Objetivos Peri-Intubação para Outras Condições Associadas a uma Via Aérea Fisiologicamente Difícil</w:t>
      </w:r>
    </w:p>
    <w:p w:rsidR="3045E523" w:rsidP="3045E523" w:rsidRDefault="3045E523" w14:paraId="417AC3E4" w14:textId="7BC42974">
      <w:pPr>
        <w:pStyle w:val="Normal"/>
      </w:pPr>
    </w:p>
    <w:p w:rsidR="7873CEA1" w:rsidP="3045E523" w:rsidRDefault="7873CEA1" w14:paraId="3727A0DF" w14:textId="55C0EEF5">
      <w:pPr>
        <w:pStyle w:val="Normal"/>
      </w:pPr>
      <w:r w:rsidR="7873CEA1">
        <w:rPr/>
        <w:t>Estados Hipermetabólicos</w:t>
      </w:r>
    </w:p>
    <w:p w:rsidR="7873CEA1" w:rsidP="3045E523" w:rsidRDefault="7873CEA1" w14:paraId="31F6D47D" w14:textId="6FB51D48">
      <w:pPr>
        <w:pStyle w:val="Normal"/>
      </w:pPr>
      <w:r w:rsidR="7873CEA1">
        <w:rPr/>
        <w:t>Estados hipermetabólicos, como os vistos em sepse, tirotoxicose, síndrome do desconforto respiratório agudo, pacientes queimados, etc., resultam em consumo elevado de oxigênio, acumulação elevada de dióxido de carbono e, portanto, tolerância à apneia prejudicada. Estratégias semelhantes ao manejo peri-TI de pacientes hipoxêmicos—oxigenação prévia ótima, oxigenação apneica e intubação acordado—podem ser consideradas.</w:t>
      </w:r>
    </w:p>
    <w:p w:rsidR="7873CEA1" w:rsidP="3045E523" w:rsidRDefault="7873CEA1" w14:paraId="7BE8FDCD" w14:textId="0049BF59">
      <w:pPr>
        <w:pStyle w:val="Normal"/>
      </w:pPr>
      <w:r w:rsidR="7873CEA1">
        <w:rPr/>
        <w:t xml:space="preserve"> </w:t>
      </w:r>
    </w:p>
    <w:p w:rsidR="7873CEA1" w:rsidP="3045E523" w:rsidRDefault="7873CEA1" w14:paraId="1E70E4F6" w14:textId="5BE42BDF">
      <w:pPr>
        <w:pStyle w:val="Normal"/>
      </w:pPr>
      <w:r w:rsidR="7873CEA1">
        <w:rPr/>
        <w:t>Outros</w:t>
      </w:r>
    </w:p>
    <w:p w:rsidR="7873CEA1" w:rsidP="3045E523" w:rsidRDefault="7873CEA1" w14:paraId="77BC5DA0" w14:textId="1A795CCC">
      <w:pPr>
        <w:pStyle w:val="Normal"/>
      </w:pPr>
      <w:r w:rsidR="7873CEA1">
        <w:rPr/>
        <w:t>Embora fora do escopo deste tutorial, outras condições que merecem menção são massa mediastinal anterior, pressão intracraniana elevada, insuficiência valvar cardíaca severa, miocardiopatia hipertrófica obstrutiva, etc. A Tabela 4 resume recomendações para as condições discutidas acima.</w:t>
      </w:r>
    </w:p>
    <w:p w:rsidR="7873CEA1" w:rsidP="3045E523" w:rsidRDefault="7873CEA1" w14:paraId="07F1C339" w14:textId="10DC863C">
      <w:pPr>
        <w:pStyle w:val="Normal"/>
      </w:pPr>
      <w:r w:rsidR="7873CEA1">
        <w:rPr/>
        <w:t>RESUMO</w:t>
      </w:r>
    </w:p>
    <w:p w:rsidR="7873CEA1" w:rsidP="3045E523" w:rsidRDefault="7873CEA1" w14:paraId="2A48D436" w14:textId="1C3F3C97">
      <w:pPr>
        <w:pStyle w:val="Normal"/>
      </w:pPr>
      <w:r w:rsidR="7873CEA1">
        <w:rPr/>
        <w:t>Embora o uso tradicional do termo "via aérea difícil" geralmente se refira a fatores anatômicos que resultam em manejo difícil da via aérea, muitos estados fisiopatológicos colocam os pacientes em alto risco de morbidade e mortalidade quando submetidos à TI. Esses pacientes devem ser considerados como tendo uma via aérea fisiologicamente difícil, e requerem otimização cuidadosa de sua condição juntamente com a consideração de estratégias de manejo alternativas, mais importante a intubação endotraqueal acordado, para mitigar o risco de complicações relacionadas à intubação.</w:t>
      </w:r>
    </w:p>
    <w:p w:rsidR="7873CEA1" w:rsidP="3045E523" w:rsidRDefault="7873CEA1" w14:paraId="130EAC30" w14:textId="67546D96">
      <w:pPr>
        <w:pStyle w:val="Normal"/>
      </w:pPr>
      <w:r w:rsidR="7873CEA1">
        <w:rPr/>
        <w:t>REFERÊNCIAS</w:t>
      </w:r>
    </w:p>
    <w:p w:rsidR="7873CEA1" w:rsidP="3045E523" w:rsidRDefault="7873CEA1" w14:paraId="16FD6C70" w14:textId="0AB82F1C">
      <w:pPr>
        <w:pStyle w:val="ListParagraph"/>
        <w:numPr>
          <w:ilvl w:val="0"/>
          <w:numId w:val="2"/>
        </w:numPr>
        <w:spacing w:before="120" w:beforeAutospacing="off" w:after="0" w:afterAutospacing="off" w:line="254" w:lineRule="auto"/>
        <w:ind w:left="-20" w:right="-20" w:hanging="219"/>
        <w:jc w:val="left"/>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Perbet S, De Jong A, Delmas J, et al. Incidence of and risk factors for severe cardiovascular collapse after endotracheal intubation in the ICU: a multicenter observational study. </w:t>
      </w:r>
      <w:r w:rsidRPr="3045E523" w:rsidR="7873CEA1">
        <w:rPr>
          <w:rFonts w:ascii="Arial" w:hAnsi="Arial" w:eastAsia="Arial" w:cs="Arial"/>
          <w:i w:val="1"/>
          <w:iCs w:val="1"/>
          <w:noProof w:val="0"/>
          <w:color w:val="231F20"/>
          <w:sz w:val="18"/>
          <w:szCs w:val="18"/>
          <w:lang w:val="en-US"/>
        </w:rPr>
        <w:t>Crit Care</w:t>
      </w:r>
      <w:r w:rsidRPr="3045E523" w:rsidR="7873CEA1">
        <w:rPr>
          <w:rFonts w:ascii="Arial" w:hAnsi="Arial" w:eastAsia="Arial" w:cs="Arial"/>
          <w:noProof w:val="0"/>
          <w:color w:val="231F20"/>
          <w:sz w:val="18"/>
          <w:szCs w:val="18"/>
          <w:lang w:val="en-US"/>
        </w:rPr>
        <w:t>. 2015;19(1):257.</w:t>
      </w:r>
    </w:p>
    <w:p w:rsidR="7873CEA1" w:rsidP="3045E523" w:rsidRDefault="7873CEA1" w14:paraId="1B03F8AC" w14:textId="41E22A4A">
      <w:pPr>
        <w:pStyle w:val="ListParagraph"/>
        <w:numPr>
          <w:ilvl w:val="0"/>
          <w:numId w:val="2"/>
        </w:numPr>
        <w:spacing w:after="0" w:afterAutospacing="off" w:line="254" w:lineRule="auto"/>
        <w:ind w:left="-20" w:right="-20" w:hanging="219"/>
        <w:jc w:val="left"/>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s-ES"/>
        </w:rPr>
        <w:t xml:space="preserve">De Jong A, Rolle A, Molinari N, et al. </w:t>
      </w:r>
      <w:r w:rsidRPr="3045E523" w:rsidR="7873CEA1">
        <w:rPr>
          <w:rFonts w:ascii="Arial" w:hAnsi="Arial" w:eastAsia="Arial" w:cs="Arial"/>
          <w:noProof w:val="0"/>
          <w:color w:val="231F20"/>
          <w:sz w:val="18"/>
          <w:szCs w:val="18"/>
          <w:lang w:val="en-US"/>
        </w:rPr>
        <w:t xml:space="preserve">Cardiac arrest and mortality related to intubation procedure in critically ill adult patients: a multicenter cohort study. </w:t>
      </w:r>
      <w:r w:rsidRPr="3045E523" w:rsidR="7873CEA1">
        <w:rPr>
          <w:rFonts w:ascii="Arial" w:hAnsi="Arial" w:eastAsia="Arial" w:cs="Arial"/>
          <w:i w:val="1"/>
          <w:iCs w:val="1"/>
          <w:noProof w:val="0"/>
          <w:color w:val="231F20"/>
          <w:sz w:val="18"/>
          <w:szCs w:val="18"/>
          <w:lang w:val="en-US"/>
        </w:rPr>
        <w:t>Crit Care Med</w:t>
      </w:r>
      <w:r w:rsidRPr="3045E523" w:rsidR="7873CEA1">
        <w:rPr>
          <w:rFonts w:ascii="Arial" w:hAnsi="Arial" w:eastAsia="Arial" w:cs="Arial"/>
          <w:noProof w:val="0"/>
          <w:color w:val="231F20"/>
          <w:sz w:val="18"/>
          <w:szCs w:val="18"/>
          <w:lang w:val="en-US"/>
        </w:rPr>
        <w:t>. 2018;46(4):532-539.</w:t>
      </w:r>
    </w:p>
    <w:p w:rsidR="3045E523" w:rsidP="3045E523" w:rsidRDefault="3045E523" w14:paraId="667FD340" w14:textId="5CA30DF6">
      <w:pPr>
        <w:spacing w:line="254" w:lineRule="auto"/>
      </w:pPr>
    </w:p>
    <w:p w:rsidR="7873CEA1" w:rsidP="3045E523" w:rsidRDefault="7873CEA1" w14:paraId="09F13CE1" w14:textId="25439EEE">
      <w:pPr>
        <w:pStyle w:val="ListParagraph"/>
        <w:numPr>
          <w:ilvl w:val="0"/>
          <w:numId w:val="2"/>
        </w:numPr>
        <w:spacing w:before="56" w:beforeAutospacing="off" w:line="252" w:lineRule="auto"/>
        <w:ind w:left="-20" w:right="-20" w:hanging="219"/>
        <w:jc w:val="left"/>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Russotto V, Myatra SN, Laffey JG, et al. Intubation practices and adverse peri-intubation events in critically ill patients from 29 countries. </w:t>
      </w:r>
      <w:r w:rsidRPr="3045E523" w:rsidR="7873CEA1">
        <w:rPr>
          <w:rFonts w:ascii="Arial" w:hAnsi="Arial" w:eastAsia="Arial" w:cs="Arial"/>
          <w:i w:val="1"/>
          <w:iCs w:val="1"/>
          <w:noProof w:val="0"/>
          <w:color w:val="231F20"/>
          <w:sz w:val="18"/>
          <w:szCs w:val="18"/>
          <w:lang w:val="en-US"/>
        </w:rPr>
        <w:t>JAMA</w:t>
      </w:r>
      <w:r w:rsidRPr="3045E523" w:rsidR="7873CEA1">
        <w:rPr>
          <w:rFonts w:ascii="Arial" w:hAnsi="Arial" w:eastAsia="Arial" w:cs="Arial"/>
          <w:noProof w:val="0"/>
          <w:color w:val="231F20"/>
          <w:sz w:val="18"/>
          <w:szCs w:val="18"/>
          <w:lang w:val="en-US"/>
        </w:rPr>
        <w:t>. 2021;325(12):1164-1172.</w:t>
      </w:r>
    </w:p>
    <w:p w:rsidR="7873CEA1" w:rsidP="3045E523" w:rsidRDefault="7873CEA1" w14:paraId="37E919BB" w14:textId="1EFBEABF">
      <w:pPr>
        <w:pStyle w:val="ListParagraph"/>
        <w:numPr>
          <w:ilvl w:val="0"/>
          <w:numId w:val="2"/>
        </w:numPr>
        <w:spacing w:before="1" w:beforeAutospacing="off" w:after="0" w:afterAutospacing="off"/>
        <w:ind w:left="-20" w:right="-20" w:hanging="217"/>
        <w:jc w:val="left"/>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Bhutta BS, Alghoula F, Berim I. Hypoxia. In: </w:t>
      </w:r>
      <w:r w:rsidRPr="3045E523" w:rsidR="7873CEA1">
        <w:rPr>
          <w:rFonts w:ascii="Arial" w:hAnsi="Arial" w:eastAsia="Arial" w:cs="Arial"/>
          <w:i w:val="1"/>
          <w:iCs w:val="1"/>
          <w:noProof w:val="0"/>
          <w:color w:val="231F20"/>
          <w:sz w:val="18"/>
          <w:szCs w:val="18"/>
          <w:lang w:val="en-US"/>
        </w:rPr>
        <w:t>StatPearls</w:t>
      </w:r>
      <w:r w:rsidRPr="3045E523" w:rsidR="7873CEA1">
        <w:rPr>
          <w:rFonts w:ascii="Arial" w:hAnsi="Arial" w:eastAsia="Arial" w:cs="Arial"/>
          <w:noProof w:val="0"/>
          <w:color w:val="231F20"/>
          <w:sz w:val="18"/>
          <w:szCs w:val="18"/>
          <w:lang w:val="en-US"/>
        </w:rPr>
        <w:t>. Treasure Island (FL): StatPearls Publishing; 2022.</w:t>
      </w:r>
    </w:p>
    <w:p w:rsidR="7873CEA1" w:rsidP="3045E523" w:rsidRDefault="7873CEA1" w14:paraId="66AE55BE" w14:textId="5A4B5997">
      <w:pPr>
        <w:pStyle w:val="ListParagraph"/>
        <w:numPr>
          <w:ilvl w:val="0"/>
          <w:numId w:val="2"/>
        </w:numPr>
        <w:spacing w:before="13" w:beforeAutospacing="off" w:after="0" w:afterAutospacing="off" w:line="254" w:lineRule="auto"/>
        <w:ind w:left="-20" w:right="-20" w:hanging="219"/>
        <w:jc w:val="left"/>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Kornas RL, Owyang CG, Sakles JC, et al. Evaluation and management of the physiologically difficult airway: consensus recommendations from Society for Airway Management. </w:t>
      </w:r>
      <w:r w:rsidRPr="3045E523" w:rsidR="7873CEA1">
        <w:rPr>
          <w:rFonts w:ascii="Arial" w:hAnsi="Arial" w:eastAsia="Arial" w:cs="Arial"/>
          <w:i w:val="1"/>
          <w:iCs w:val="1"/>
          <w:noProof w:val="0"/>
          <w:color w:val="231F20"/>
          <w:sz w:val="18"/>
          <w:szCs w:val="18"/>
          <w:lang w:val="en-US"/>
        </w:rPr>
        <w:t>Anesth Analg</w:t>
      </w:r>
      <w:r w:rsidRPr="3045E523" w:rsidR="7873CEA1">
        <w:rPr>
          <w:rFonts w:ascii="Arial" w:hAnsi="Arial" w:eastAsia="Arial" w:cs="Arial"/>
          <w:noProof w:val="0"/>
          <w:color w:val="231F20"/>
          <w:sz w:val="18"/>
          <w:szCs w:val="18"/>
          <w:lang w:val="en-US"/>
        </w:rPr>
        <w:t>. 2021;132(2):395-405.</w:t>
      </w:r>
    </w:p>
    <w:p w:rsidR="7873CEA1" w:rsidP="3045E523" w:rsidRDefault="7873CEA1" w14:paraId="22E52C37" w14:textId="445879A3">
      <w:pPr>
        <w:pStyle w:val="ListParagraph"/>
        <w:numPr>
          <w:ilvl w:val="0"/>
          <w:numId w:val="2"/>
        </w:numPr>
        <w:spacing w:after="0" w:afterAutospacing="off" w:line="252" w:lineRule="auto"/>
        <w:ind w:left="-20" w:right="-20" w:hanging="219"/>
        <w:jc w:val="left"/>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Davis DP, Lemieux J, Serra J, et al. Preoxygenation reduces desaturation events and improves intubation success. </w:t>
      </w:r>
      <w:r w:rsidRPr="3045E523" w:rsidR="7873CEA1">
        <w:rPr>
          <w:rFonts w:ascii="Arial" w:hAnsi="Arial" w:eastAsia="Arial" w:cs="Arial"/>
          <w:i w:val="1"/>
          <w:iCs w:val="1"/>
          <w:noProof w:val="0"/>
          <w:color w:val="231F20"/>
          <w:sz w:val="18"/>
          <w:szCs w:val="18"/>
          <w:lang w:val="en-US"/>
        </w:rPr>
        <w:t>Air Med J</w:t>
      </w:r>
      <w:r w:rsidRPr="3045E523" w:rsidR="7873CEA1">
        <w:rPr>
          <w:rFonts w:ascii="Arial" w:hAnsi="Arial" w:eastAsia="Arial" w:cs="Arial"/>
          <w:noProof w:val="0"/>
          <w:color w:val="231F20"/>
          <w:sz w:val="18"/>
          <w:szCs w:val="18"/>
          <w:lang w:val="en-US"/>
        </w:rPr>
        <w:t>. 2015;34(2):82-85.</w:t>
      </w:r>
    </w:p>
    <w:p w:rsidR="7873CEA1" w:rsidP="3045E523" w:rsidRDefault="7873CEA1" w14:paraId="05F82905" w14:textId="7AF1C077">
      <w:pPr>
        <w:pStyle w:val="ListParagraph"/>
        <w:numPr>
          <w:ilvl w:val="0"/>
          <w:numId w:val="2"/>
        </w:numPr>
        <w:spacing w:before="0" w:beforeAutospacing="off" w:after="0" w:afterAutospacing="off" w:line="252" w:lineRule="auto"/>
        <w:ind w:left="-20" w:right="-20" w:hanging="219"/>
        <w:jc w:val="left"/>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Driver BE, Klein LR, Carlson K, et al. Preoxygenation with flush rate oxygen: comparing the nonrebreather mask with the bag-valve mask. </w:t>
      </w:r>
      <w:r w:rsidRPr="3045E523" w:rsidR="7873CEA1">
        <w:rPr>
          <w:rFonts w:ascii="Arial" w:hAnsi="Arial" w:eastAsia="Arial" w:cs="Arial"/>
          <w:i w:val="1"/>
          <w:iCs w:val="1"/>
          <w:noProof w:val="0"/>
          <w:color w:val="231F20"/>
          <w:sz w:val="18"/>
          <w:szCs w:val="18"/>
          <w:lang w:val="en-US"/>
        </w:rPr>
        <w:t>Ann Emerg Med</w:t>
      </w:r>
      <w:r w:rsidRPr="3045E523" w:rsidR="7873CEA1">
        <w:rPr>
          <w:rFonts w:ascii="Arial" w:hAnsi="Arial" w:eastAsia="Arial" w:cs="Arial"/>
          <w:noProof w:val="0"/>
          <w:color w:val="231F20"/>
          <w:sz w:val="18"/>
          <w:szCs w:val="18"/>
          <w:lang w:val="en-US"/>
        </w:rPr>
        <w:t>. 2018;71(3):381-386.</w:t>
      </w:r>
    </w:p>
    <w:p w:rsidR="7873CEA1" w:rsidP="3045E523" w:rsidRDefault="7873CEA1" w14:paraId="1F2E8BC1" w14:textId="79E28483">
      <w:pPr>
        <w:pStyle w:val="ListParagraph"/>
        <w:numPr>
          <w:ilvl w:val="0"/>
          <w:numId w:val="2"/>
        </w:numPr>
        <w:spacing w:after="0" w:afterAutospacing="off" w:line="252" w:lineRule="auto"/>
        <w:ind w:left="-20" w:right="-20" w:hanging="219"/>
        <w:jc w:val="left"/>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Hayes-Bradley C, Lewis A, Burns B, et al. Efficacy of nasal cannula oxygen as a preoxygenation adjunct in emergency air- way management. </w:t>
      </w:r>
      <w:r w:rsidRPr="3045E523" w:rsidR="7873CEA1">
        <w:rPr>
          <w:rFonts w:ascii="Arial" w:hAnsi="Arial" w:eastAsia="Arial" w:cs="Arial"/>
          <w:i w:val="1"/>
          <w:iCs w:val="1"/>
          <w:noProof w:val="0"/>
          <w:color w:val="231F20"/>
          <w:sz w:val="18"/>
          <w:szCs w:val="18"/>
          <w:lang w:val="en-US"/>
        </w:rPr>
        <w:t>Ann Emerg Med</w:t>
      </w:r>
      <w:r w:rsidRPr="3045E523" w:rsidR="7873CEA1">
        <w:rPr>
          <w:rFonts w:ascii="Arial" w:hAnsi="Arial" w:eastAsia="Arial" w:cs="Arial"/>
          <w:noProof w:val="0"/>
          <w:color w:val="231F20"/>
          <w:sz w:val="18"/>
          <w:szCs w:val="18"/>
          <w:lang w:val="en-US"/>
        </w:rPr>
        <w:t>. 2016;68(2):174-180.</w:t>
      </w:r>
    </w:p>
    <w:p w:rsidR="7873CEA1" w:rsidP="3045E523" w:rsidRDefault="7873CEA1" w14:paraId="0F59DF21" w14:textId="0C59AB7F">
      <w:pPr>
        <w:pStyle w:val="ListParagraph"/>
        <w:numPr>
          <w:ilvl w:val="0"/>
          <w:numId w:val="2"/>
        </w:numPr>
        <w:spacing w:before="1" w:beforeAutospacing="off" w:line="252" w:lineRule="auto"/>
        <w:ind w:left="-20" w:right="-20" w:hanging="219"/>
        <w:jc w:val="left"/>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Dixon BJ, Dixon JB, Carden JR, et al. Preoxygenation is more effective in the 25 degrees head-up position than in the supine position in severely obese patients: a randomized controlled study. Anesthesiology. 2005;102(6):1110-1115.</w:t>
      </w:r>
    </w:p>
    <w:p w:rsidR="7873CEA1" w:rsidP="3045E523" w:rsidRDefault="7873CEA1" w14:paraId="04F1AF5B" w14:textId="09DB5A1F">
      <w:pPr>
        <w:pStyle w:val="ListParagraph"/>
        <w:numPr>
          <w:ilvl w:val="0"/>
          <w:numId w:val="2"/>
        </w:numPr>
        <w:spacing w:before="1" w:beforeAutospacing="off" w:after="0" w:afterAutospacing="off"/>
        <w:ind w:left="-20" w:right="-20" w:hanging="318"/>
        <w:jc w:val="left"/>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Mosier JM, Joshi R, Hypes C, et al. The physiologically difficult airway. </w:t>
      </w:r>
      <w:r w:rsidRPr="3045E523" w:rsidR="7873CEA1">
        <w:rPr>
          <w:rFonts w:ascii="Arial" w:hAnsi="Arial" w:eastAsia="Arial" w:cs="Arial"/>
          <w:i w:val="1"/>
          <w:iCs w:val="1"/>
          <w:noProof w:val="0"/>
          <w:color w:val="231F20"/>
          <w:sz w:val="18"/>
          <w:szCs w:val="18"/>
          <w:lang w:val="en-US"/>
        </w:rPr>
        <w:t>West J Emerg Med</w:t>
      </w:r>
      <w:r w:rsidRPr="3045E523" w:rsidR="7873CEA1">
        <w:rPr>
          <w:rFonts w:ascii="Arial" w:hAnsi="Arial" w:eastAsia="Arial" w:cs="Arial"/>
          <w:noProof w:val="0"/>
          <w:color w:val="231F20"/>
          <w:sz w:val="18"/>
          <w:szCs w:val="18"/>
          <w:lang w:val="en-US"/>
        </w:rPr>
        <w:t>. 2015;16(7):1109-1117.</w:t>
      </w:r>
    </w:p>
    <w:p w:rsidR="7873CEA1" w:rsidP="3045E523" w:rsidRDefault="7873CEA1" w14:paraId="1C45558D" w14:textId="0F9B58C9">
      <w:pPr>
        <w:pStyle w:val="ListParagraph"/>
        <w:numPr>
          <w:ilvl w:val="0"/>
          <w:numId w:val="2"/>
        </w:numPr>
        <w:spacing w:before="13" w:beforeAutospacing="off" w:after="0" w:after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Baillard C, Fosse JP, Sebbane M, et al. Noninvasive ventilation improves preoxygenation before intubation of hypoxic patients. </w:t>
      </w:r>
      <w:r w:rsidRPr="3045E523" w:rsidR="7873CEA1">
        <w:rPr>
          <w:rFonts w:ascii="Arial" w:hAnsi="Arial" w:eastAsia="Arial" w:cs="Arial"/>
          <w:i w:val="1"/>
          <w:iCs w:val="1"/>
          <w:noProof w:val="0"/>
          <w:color w:val="231F20"/>
          <w:sz w:val="18"/>
          <w:szCs w:val="18"/>
          <w:lang w:val="en-US"/>
        </w:rPr>
        <w:t>Am J Respir Crit Care Med</w:t>
      </w:r>
      <w:r w:rsidRPr="3045E523" w:rsidR="7873CEA1">
        <w:rPr>
          <w:rFonts w:ascii="Arial" w:hAnsi="Arial" w:eastAsia="Arial" w:cs="Arial"/>
          <w:noProof w:val="0"/>
          <w:color w:val="231F20"/>
          <w:sz w:val="18"/>
          <w:szCs w:val="18"/>
          <w:lang w:val="en-US"/>
        </w:rPr>
        <w:t>. 2006;174(2):171-177.</w:t>
      </w:r>
    </w:p>
    <w:p w:rsidR="7873CEA1" w:rsidP="3045E523" w:rsidRDefault="7873CEA1" w14:paraId="4D9CB4E6" w14:textId="22DD2C8F">
      <w:pPr>
        <w:pStyle w:val="ListParagraph"/>
        <w:numPr>
          <w:ilvl w:val="0"/>
          <w:numId w:val="2"/>
        </w:numPr>
        <w:spacing w:before="2" w:beforeAutospacing="off" w:after="0" w:after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Frat JP, Ricard JD, Quenot JP, et al. Non-invasive ventilation versus high-flow nasal cannula oxygen therapy with apnoeic oxygenation for preoxygenation before intubation of patients with acute hypoxaemic respiratory failure: a randomised, multicentre, open-label trial. </w:t>
      </w:r>
      <w:r w:rsidRPr="3045E523" w:rsidR="7873CEA1">
        <w:rPr>
          <w:rFonts w:ascii="Arial" w:hAnsi="Arial" w:eastAsia="Arial" w:cs="Arial"/>
          <w:i w:val="1"/>
          <w:iCs w:val="1"/>
          <w:noProof w:val="0"/>
          <w:color w:val="231F20"/>
          <w:sz w:val="18"/>
          <w:szCs w:val="18"/>
          <w:lang w:val="en-US"/>
        </w:rPr>
        <w:t>Lancet Respir Med</w:t>
      </w:r>
      <w:r w:rsidRPr="3045E523" w:rsidR="7873CEA1">
        <w:rPr>
          <w:rFonts w:ascii="Arial" w:hAnsi="Arial" w:eastAsia="Arial" w:cs="Arial"/>
          <w:noProof w:val="0"/>
          <w:color w:val="231F20"/>
          <w:sz w:val="18"/>
          <w:szCs w:val="18"/>
          <w:lang w:val="en-US"/>
        </w:rPr>
        <w:t>. 2019;7(4):303-312.</w:t>
      </w:r>
    </w:p>
    <w:p w:rsidR="7873CEA1" w:rsidP="3045E523" w:rsidRDefault="7873CEA1" w14:paraId="11B3630A" w14:textId="1D5D6003">
      <w:pPr>
        <w:pStyle w:val="ListParagraph"/>
        <w:numPr>
          <w:ilvl w:val="0"/>
          <w:numId w:val="2"/>
        </w:numPr>
        <w:spacing w:before="1" w:beforeAutospacing="off" w:after="0" w:afterAutospacing="off"/>
        <w:ind w:left="-20" w:right="-20" w:hanging="318"/>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Russotto V, Rahmani L, Parotto M, et al. Tracheal intubation in the critically ill patient. </w:t>
      </w:r>
      <w:r w:rsidRPr="3045E523" w:rsidR="7873CEA1">
        <w:rPr>
          <w:rFonts w:ascii="Arial" w:hAnsi="Arial" w:eastAsia="Arial" w:cs="Arial"/>
          <w:i w:val="1"/>
          <w:iCs w:val="1"/>
          <w:noProof w:val="0"/>
          <w:color w:val="231F20"/>
          <w:sz w:val="18"/>
          <w:szCs w:val="18"/>
          <w:lang w:val="en-US"/>
        </w:rPr>
        <w:t>Eur. J. Anaesthesiol</w:t>
      </w:r>
      <w:r w:rsidRPr="3045E523" w:rsidR="7873CEA1">
        <w:rPr>
          <w:rFonts w:ascii="Arial" w:hAnsi="Arial" w:eastAsia="Arial" w:cs="Arial"/>
          <w:noProof w:val="0"/>
          <w:color w:val="231F20"/>
          <w:sz w:val="18"/>
          <w:szCs w:val="18"/>
          <w:lang w:val="en-US"/>
        </w:rPr>
        <w:t>. 2022;39(5):463-472.</w:t>
      </w:r>
    </w:p>
    <w:p w:rsidR="7873CEA1" w:rsidP="3045E523" w:rsidRDefault="7873CEA1" w14:paraId="1592293C" w14:textId="6AFEA192">
      <w:pPr>
        <w:pStyle w:val="ListParagraph"/>
        <w:numPr>
          <w:ilvl w:val="0"/>
          <w:numId w:val="2"/>
        </w:numPr>
        <w:spacing w:before="13" w:before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s-ES"/>
        </w:rPr>
        <w:t xml:space="preserve">Wimalasena Y, Burns B, Reid C, et al. </w:t>
      </w:r>
      <w:r w:rsidRPr="3045E523" w:rsidR="7873CEA1">
        <w:rPr>
          <w:rFonts w:ascii="Arial" w:hAnsi="Arial" w:eastAsia="Arial" w:cs="Arial"/>
          <w:noProof w:val="0"/>
          <w:color w:val="231F20"/>
          <w:sz w:val="18"/>
          <w:szCs w:val="18"/>
          <w:lang w:val="en-US"/>
        </w:rPr>
        <w:t xml:space="preserve">Apneic oxygenation was associated with decreased desaturation rates during rapid sequence intubation by an Australian helicopter emergency medicine service. </w:t>
      </w:r>
      <w:r w:rsidRPr="3045E523" w:rsidR="7873CEA1">
        <w:rPr>
          <w:rFonts w:ascii="Arial" w:hAnsi="Arial" w:eastAsia="Arial" w:cs="Arial"/>
          <w:i w:val="1"/>
          <w:iCs w:val="1"/>
          <w:noProof w:val="0"/>
          <w:color w:val="231F20"/>
          <w:sz w:val="18"/>
          <w:szCs w:val="18"/>
          <w:lang w:val="en-US"/>
        </w:rPr>
        <w:t>Ann Emerg Med</w:t>
      </w:r>
      <w:r w:rsidRPr="3045E523" w:rsidR="7873CEA1">
        <w:rPr>
          <w:rFonts w:ascii="Arial" w:hAnsi="Arial" w:eastAsia="Arial" w:cs="Arial"/>
          <w:noProof w:val="0"/>
          <w:color w:val="231F20"/>
          <w:sz w:val="18"/>
          <w:szCs w:val="18"/>
          <w:lang w:val="en-US"/>
        </w:rPr>
        <w:t>. 2015;65(4):371-376.</w:t>
      </w:r>
    </w:p>
    <w:p w:rsidR="7873CEA1" w:rsidP="3045E523" w:rsidRDefault="7873CEA1" w14:paraId="473F7803" w14:textId="1B02CA81">
      <w:pPr>
        <w:pStyle w:val="ListParagraph"/>
        <w:numPr>
          <w:ilvl w:val="0"/>
          <w:numId w:val="2"/>
        </w:numPr>
        <w:spacing w:before="1" w:before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Patel A, Nouraei SA. Transnasal humidified rapid-insufflation ventilatory exchange (THRIVE): a physiological method of increasing apnoea time in patients with difficult airways. </w:t>
      </w:r>
      <w:r w:rsidRPr="3045E523" w:rsidR="7873CEA1">
        <w:rPr>
          <w:rFonts w:ascii="Arial" w:hAnsi="Arial" w:eastAsia="Arial" w:cs="Arial"/>
          <w:i w:val="1"/>
          <w:iCs w:val="1"/>
          <w:noProof w:val="0"/>
          <w:color w:val="231F20"/>
          <w:sz w:val="18"/>
          <w:szCs w:val="18"/>
          <w:lang w:val="en-US"/>
        </w:rPr>
        <w:t>Anaesthesia</w:t>
      </w:r>
      <w:r w:rsidRPr="3045E523" w:rsidR="7873CEA1">
        <w:rPr>
          <w:rFonts w:ascii="Arial" w:hAnsi="Arial" w:eastAsia="Arial" w:cs="Arial"/>
          <w:noProof w:val="0"/>
          <w:color w:val="231F20"/>
          <w:sz w:val="18"/>
          <w:szCs w:val="18"/>
          <w:lang w:val="en-US"/>
        </w:rPr>
        <w:t>. 2015;70(3):323-329.</w:t>
      </w:r>
    </w:p>
    <w:p w:rsidR="7873CEA1" w:rsidP="3045E523" w:rsidRDefault="7873CEA1" w14:paraId="341D96A3" w14:textId="297656E7">
      <w:pPr>
        <w:pStyle w:val="ListParagraph"/>
        <w:numPr>
          <w:ilvl w:val="0"/>
          <w:numId w:val="2"/>
        </w:numPr>
        <w:spacing w:before="1" w:before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Jaber S, Monnin M, Girard M, et al. Apnoeic oxygenation via high-flow nasal cannula oxygen combined with non-invasive ventilation preoxygenation for intubation in hypoxaemic patients in the intensive care unit: the single-centre, blinded, rando- mised controlled OPTINIV trial. </w:t>
      </w:r>
      <w:r w:rsidRPr="3045E523" w:rsidR="7873CEA1">
        <w:rPr>
          <w:rFonts w:ascii="Arial" w:hAnsi="Arial" w:eastAsia="Arial" w:cs="Arial"/>
          <w:i w:val="1"/>
          <w:iCs w:val="1"/>
          <w:noProof w:val="0"/>
          <w:color w:val="231F20"/>
          <w:sz w:val="18"/>
          <w:szCs w:val="18"/>
          <w:lang w:val="en-US"/>
        </w:rPr>
        <w:t>Intensive Care Med</w:t>
      </w:r>
      <w:r w:rsidRPr="3045E523" w:rsidR="7873CEA1">
        <w:rPr>
          <w:rFonts w:ascii="Arial" w:hAnsi="Arial" w:eastAsia="Arial" w:cs="Arial"/>
          <w:noProof w:val="0"/>
          <w:color w:val="231F20"/>
          <w:sz w:val="18"/>
          <w:szCs w:val="18"/>
          <w:lang w:val="en-US"/>
        </w:rPr>
        <w:t>. 2016;42(12):1877-1887.</w:t>
      </w:r>
    </w:p>
    <w:p w:rsidR="7873CEA1" w:rsidP="3045E523" w:rsidRDefault="7873CEA1" w14:paraId="0CFE5448" w14:textId="0E1A6899">
      <w:pPr>
        <w:pStyle w:val="ListParagraph"/>
        <w:numPr>
          <w:ilvl w:val="0"/>
          <w:numId w:val="2"/>
        </w:numPr>
        <w:spacing w:before="2" w:before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Apfelbaum J, Hagberg C, Connis R, et al. 2022 American Society of Anesthesiologists practice guidelines for management of the difficult airway. </w:t>
      </w:r>
      <w:r w:rsidRPr="3045E523" w:rsidR="7873CEA1">
        <w:rPr>
          <w:rFonts w:ascii="Arial" w:hAnsi="Arial" w:eastAsia="Arial" w:cs="Arial"/>
          <w:i w:val="1"/>
          <w:iCs w:val="1"/>
          <w:noProof w:val="0"/>
          <w:color w:val="231F20"/>
          <w:sz w:val="18"/>
          <w:szCs w:val="18"/>
          <w:lang w:val="en-US"/>
        </w:rPr>
        <w:t xml:space="preserve">Anesthesiology </w:t>
      </w:r>
      <w:r w:rsidRPr="3045E523" w:rsidR="7873CEA1">
        <w:rPr>
          <w:rFonts w:ascii="Arial" w:hAnsi="Arial" w:eastAsia="Arial" w:cs="Arial"/>
          <w:noProof w:val="0"/>
          <w:color w:val="231F20"/>
          <w:sz w:val="18"/>
          <w:szCs w:val="18"/>
          <w:lang w:val="en-US"/>
        </w:rPr>
        <w:t>2022; 136(1):31-81.</w:t>
      </w:r>
    </w:p>
    <w:p w:rsidR="7873CEA1" w:rsidP="3045E523" w:rsidRDefault="7873CEA1" w14:paraId="11D15C88" w14:textId="1987BDF5">
      <w:pPr>
        <w:pStyle w:val="ListParagraph"/>
        <w:numPr>
          <w:ilvl w:val="0"/>
          <w:numId w:val="2"/>
        </w:numPr>
        <w:spacing w:before="1" w:before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Casey J, Janz D, Russell D, et al. Bag-mask ventilation during tracheal intubation of critically ill adults. </w:t>
      </w:r>
      <w:r w:rsidRPr="3045E523" w:rsidR="7873CEA1">
        <w:rPr>
          <w:rFonts w:ascii="Arial" w:hAnsi="Arial" w:eastAsia="Arial" w:cs="Arial"/>
          <w:i w:val="1"/>
          <w:iCs w:val="1"/>
          <w:noProof w:val="0"/>
          <w:color w:val="231F20"/>
          <w:sz w:val="18"/>
          <w:szCs w:val="18"/>
          <w:lang w:val="en-US"/>
        </w:rPr>
        <w:t>N Engl J Med</w:t>
      </w:r>
      <w:r w:rsidRPr="3045E523" w:rsidR="7873CEA1">
        <w:rPr>
          <w:rFonts w:ascii="Arial" w:hAnsi="Arial" w:eastAsia="Arial" w:cs="Arial"/>
          <w:noProof w:val="0"/>
          <w:color w:val="231F20"/>
          <w:sz w:val="18"/>
          <w:szCs w:val="18"/>
          <w:lang w:val="en-US"/>
        </w:rPr>
        <w:t>. 2019;380(9):811-821.</w:t>
      </w:r>
    </w:p>
    <w:p w:rsidR="7873CEA1" w:rsidP="3045E523" w:rsidRDefault="7873CEA1" w14:paraId="7A071778" w14:textId="7A15FCF7">
      <w:pPr>
        <w:pStyle w:val="ListParagraph"/>
        <w:numPr>
          <w:ilvl w:val="0"/>
          <w:numId w:val="2"/>
        </w:numPr>
        <w:spacing w:before="1" w:before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Khorsand S, Chin J, Rice J, et al. Role of point-of-care ultrasound in emergency airway management outside the operating room. </w:t>
      </w:r>
      <w:r w:rsidRPr="3045E523" w:rsidR="7873CEA1">
        <w:rPr>
          <w:rFonts w:ascii="Arial" w:hAnsi="Arial" w:eastAsia="Arial" w:cs="Arial"/>
          <w:i w:val="1"/>
          <w:iCs w:val="1"/>
          <w:noProof w:val="0"/>
          <w:color w:val="231F20"/>
          <w:sz w:val="18"/>
          <w:szCs w:val="18"/>
          <w:lang w:val="en-US"/>
        </w:rPr>
        <w:t>Anesth Analg</w:t>
      </w:r>
      <w:r w:rsidRPr="3045E523" w:rsidR="7873CEA1">
        <w:rPr>
          <w:rFonts w:ascii="Arial" w:hAnsi="Arial" w:eastAsia="Arial" w:cs="Arial"/>
          <w:noProof w:val="0"/>
          <w:color w:val="231F20"/>
          <w:sz w:val="18"/>
          <w:szCs w:val="18"/>
          <w:lang w:val="en-US"/>
        </w:rPr>
        <w:t>. 2023;137(1):124-136.</w:t>
      </w:r>
    </w:p>
    <w:p w:rsidR="7873CEA1" w:rsidP="3045E523" w:rsidRDefault="7873CEA1" w14:paraId="602776D5" w14:textId="62050F59">
      <w:pPr>
        <w:pStyle w:val="ListParagraph"/>
        <w:numPr>
          <w:ilvl w:val="0"/>
          <w:numId w:val="2"/>
        </w:numPr>
        <w:spacing w:before="2" w:beforeAutospacing="off" w:after="0" w:after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Heffner AC, Swords DS, Neale MN, et al. Incidence and factors associated with cardiac arrest complicating emergency airway management. </w:t>
      </w:r>
      <w:r w:rsidRPr="3045E523" w:rsidR="7873CEA1">
        <w:rPr>
          <w:rFonts w:ascii="Arial" w:hAnsi="Arial" w:eastAsia="Arial" w:cs="Arial"/>
          <w:i w:val="1"/>
          <w:iCs w:val="1"/>
          <w:noProof w:val="0"/>
          <w:color w:val="231F20"/>
          <w:sz w:val="18"/>
          <w:szCs w:val="18"/>
          <w:lang w:val="en-US"/>
        </w:rPr>
        <w:t>Resuscitation</w:t>
      </w:r>
      <w:r w:rsidRPr="3045E523" w:rsidR="7873CEA1">
        <w:rPr>
          <w:rFonts w:ascii="Arial" w:hAnsi="Arial" w:eastAsia="Arial" w:cs="Arial"/>
          <w:noProof w:val="0"/>
          <w:color w:val="231F20"/>
          <w:sz w:val="18"/>
          <w:szCs w:val="18"/>
          <w:lang w:val="en-US"/>
        </w:rPr>
        <w:t>. 2013;84(11):1500-1504.</w:t>
      </w:r>
    </w:p>
    <w:p w:rsidR="7873CEA1" w:rsidP="3045E523" w:rsidRDefault="7873CEA1" w14:paraId="5852BBF7" w14:textId="02020E86">
      <w:pPr>
        <w:pStyle w:val="ListParagraph"/>
        <w:numPr>
          <w:ilvl w:val="0"/>
          <w:numId w:val="2"/>
        </w:numPr>
        <w:spacing w:before="1" w:before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Russell DW, Casey JD, Gibbs KW, et al. Effect of fluid bolus administration on cardiovascular collapse among critically ill patients undergoing tracheal intubation: a randomized clinical trial. </w:t>
      </w:r>
      <w:r w:rsidRPr="3045E523" w:rsidR="7873CEA1">
        <w:rPr>
          <w:rFonts w:ascii="Arial" w:hAnsi="Arial" w:eastAsia="Arial" w:cs="Arial"/>
          <w:i w:val="1"/>
          <w:iCs w:val="1"/>
          <w:noProof w:val="0"/>
          <w:color w:val="231F20"/>
          <w:sz w:val="18"/>
          <w:szCs w:val="18"/>
          <w:lang w:val="en-US"/>
        </w:rPr>
        <w:t>JAMA</w:t>
      </w:r>
      <w:r w:rsidRPr="3045E523" w:rsidR="7873CEA1">
        <w:rPr>
          <w:rFonts w:ascii="Arial" w:hAnsi="Arial" w:eastAsia="Arial" w:cs="Arial"/>
          <w:noProof w:val="0"/>
          <w:color w:val="231F20"/>
          <w:sz w:val="18"/>
          <w:szCs w:val="18"/>
          <w:lang w:val="en-US"/>
        </w:rPr>
        <w:t>. 2022;328(3):270-279.</w:t>
      </w:r>
    </w:p>
    <w:p w:rsidR="7873CEA1" w:rsidP="3045E523" w:rsidRDefault="7873CEA1" w14:paraId="61BABAA9" w14:textId="77CA0AC5">
      <w:pPr>
        <w:pStyle w:val="ListParagraph"/>
        <w:numPr>
          <w:ilvl w:val="0"/>
          <w:numId w:val="2"/>
        </w:numPr>
        <w:spacing w:before="1" w:beforeAutospacing="off" w:line="254"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s-ES"/>
        </w:rPr>
        <w:t xml:space="preserve">Matchett G, Gasanova I, Riccio CA, et al. </w:t>
      </w:r>
      <w:r w:rsidRPr="3045E523" w:rsidR="7873CEA1">
        <w:rPr>
          <w:rFonts w:ascii="Arial" w:hAnsi="Arial" w:eastAsia="Arial" w:cs="Arial"/>
          <w:noProof w:val="0"/>
          <w:color w:val="231F20"/>
          <w:sz w:val="18"/>
          <w:szCs w:val="18"/>
          <w:lang w:val="en-US"/>
        </w:rPr>
        <w:t xml:space="preserve">Etomidate versus ketamine for emergency endotracheal intubation: a random- ized clinical trial. </w:t>
      </w:r>
      <w:r w:rsidRPr="3045E523" w:rsidR="7873CEA1">
        <w:rPr>
          <w:rFonts w:ascii="Arial" w:hAnsi="Arial" w:eastAsia="Arial" w:cs="Arial"/>
          <w:i w:val="1"/>
          <w:iCs w:val="1"/>
          <w:noProof w:val="0"/>
          <w:color w:val="231F20"/>
          <w:sz w:val="18"/>
          <w:szCs w:val="18"/>
          <w:lang w:val="en-US"/>
        </w:rPr>
        <w:t>Intensive Care Med</w:t>
      </w:r>
      <w:r w:rsidRPr="3045E523" w:rsidR="7873CEA1">
        <w:rPr>
          <w:rFonts w:ascii="Arial" w:hAnsi="Arial" w:eastAsia="Arial" w:cs="Arial"/>
          <w:noProof w:val="0"/>
          <w:color w:val="231F20"/>
          <w:sz w:val="18"/>
          <w:szCs w:val="18"/>
          <w:lang w:val="en-US"/>
        </w:rPr>
        <w:t>. 2022;48(1):78-91.</w:t>
      </w:r>
    </w:p>
    <w:p w:rsidR="7873CEA1" w:rsidP="3045E523" w:rsidRDefault="7873CEA1" w14:paraId="43C0452A" w14:textId="078B47EE">
      <w:pPr>
        <w:pStyle w:val="ListParagraph"/>
        <w:numPr>
          <w:ilvl w:val="0"/>
          <w:numId w:val="2"/>
        </w:numPr>
        <w:spacing w:before="12" w:beforeAutospacing="off" w:line="19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Allyn J, Vandroux D, Jabot J, et al. Prognosis of patients presenting extreme acidosis (pH &lt;7) on admission to intensive care unit. </w:t>
      </w:r>
      <w:r w:rsidRPr="3045E523" w:rsidR="7873CEA1">
        <w:rPr>
          <w:rFonts w:ascii="Arial" w:hAnsi="Arial" w:eastAsia="Arial" w:cs="Arial"/>
          <w:i w:val="1"/>
          <w:iCs w:val="1"/>
          <w:noProof w:val="0"/>
          <w:color w:val="231F20"/>
          <w:sz w:val="18"/>
          <w:szCs w:val="18"/>
          <w:lang w:val="en-US"/>
        </w:rPr>
        <w:t>J Crit Care</w:t>
      </w:r>
      <w:r w:rsidRPr="3045E523" w:rsidR="7873CEA1">
        <w:rPr>
          <w:rFonts w:ascii="Arial" w:hAnsi="Arial" w:eastAsia="Arial" w:cs="Arial"/>
          <w:noProof w:val="0"/>
          <w:color w:val="231F20"/>
          <w:sz w:val="18"/>
          <w:szCs w:val="18"/>
          <w:lang w:val="en-US"/>
        </w:rPr>
        <w:t>. 2016;31(1):243-248.</w:t>
      </w:r>
    </w:p>
    <w:p w:rsidR="7873CEA1" w:rsidP="3045E523" w:rsidRDefault="7873CEA1" w14:paraId="2985531D" w14:textId="6B5B8BCC">
      <w:pPr>
        <w:pStyle w:val="ListParagraph"/>
        <w:numPr>
          <w:ilvl w:val="0"/>
          <w:numId w:val="2"/>
        </w:numPr>
        <w:spacing w:before="21" w:beforeAutospacing="off" w:after="0" w:afterAutospacing="off"/>
        <w:ind w:left="-20" w:right="-20" w:hanging="318"/>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Capone J, Gluncic V, Lukic A, et al. Physiologically difficult airway in the patient with severe hypotension and metabolic acidosis.</w:t>
      </w:r>
    </w:p>
    <w:p w:rsidR="7873CEA1" w:rsidP="3045E523" w:rsidRDefault="7873CEA1" w14:paraId="2176D037" w14:textId="5A405D15">
      <w:pPr>
        <w:spacing w:before="13" w:beforeAutospacing="off" w:after="0" w:afterAutospacing="off"/>
        <w:ind w:left="430" w:right="-20"/>
        <w:jc w:val="both"/>
      </w:pPr>
      <w:r w:rsidRPr="3045E523" w:rsidR="7873CEA1">
        <w:rPr>
          <w:rFonts w:ascii="Arial" w:hAnsi="Arial" w:eastAsia="Arial" w:cs="Arial"/>
          <w:i w:val="1"/>
          <w:iCs w:val="1"/>
          <w:noProof w:val="0"/>
          <w:color w:val="231F20"/>
          <w:sz w:val="18"/>
          <w:szCs w:val="18"/>
          <w:lang w:val="en-US"/>
        </w:rPr>
        <w:t>Case Rep Anesthesiol</w:t>
      </w:r>
      <w:r w:rsidRPr="3045E523" w:rsidR="7873CEA1">
        <w:rPr>
          <w:rFonts w:ascii="Arial" w:hAnsi="Arial" w:eastAsia="Arial" w:cs="Arial"/>
          <w:noProof w:val="0"/>
          <w:color w:val="231F20"/>
          <w:sz w:val="18"/>
          <w:szCs w:val="18"/>
          <w:lang w:val="en-US"/>
        </w:rPr>
        <w:t>. 2020;2020:8821827.</w:t>
      </w:r>
    </w:p>
    <w:p w:rsidR="7873CEA1" w:rsidP="3045E523" w:rsidRDefault="7873CEA1" w14:paraId="77ECF7AE" w14:textId="6B4B2AB5">
      <w:pPr>
        <w:pStyle w:val="ListParagraph"/>
        <w:numPr>
          <w:ilvl w:val="0"/>
          <w:numId w:val="2"/>
        </w:numPr>
        <w:spacing w:before="13" w:before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Madhivathanan PR, Corredor C, Smith A. Perioperative implications of pericardial effusions and cardiac tamponade. </w:t>
      </w:r>
      <w:r w:rsidRPr="3045E523" w:rsidR="7873CEA1">
        <w:rPr>
          <w:rFonts w:ascii="Arial" w:hAnsi="Arial" w:eastAsia="Arial" w:cs="Arial"/>
          <w:i w:val="1"/>
          <w:iCs w:val="1"/>
          <w:noProof w:val="0"/>
          <w:color w:val="231F20"/>
          <w:sz w:val="18"/>
          <w:szCs w:val="18"/>
          <w:lang w:val="en-US"/>
        </w:rPr>
        <w:t xml:space="preserve">BJA Educ. </w:t>
      </w:r>
      <w:r w:rsidRPr="3045E523" w:rsidR="7873CEA1">
        <w:rPr>
          <w:rFonts w:ascii="Arial" w:hAnsi="Arial" w:eastAsia="Arial" w:cs="Arial"/>
          <w:noProof w:val="0"/>
          <w:color w:val="231F20"/>
          <w:sz w:val="18"/>
          <w:szCs w:val="18"/>
          <w:lang w:val="en-US"/>
        </w:rPr>
        <w:t>2020;20(7):226-234.</w:t>
      </w:r>
    </w:p>
    <w:p w:rsidR="7873CEA1" w:rsidP="3045E523" w:rsidRDefault="7873CEA1" w14:paraId="38662E25" w14:textId="3A82CBDD">
      <w:pPr>
        <w:pStyle w:val="ListParagraph"/>
        <w:numPr>
          <w:ilvl w:val="0"/>
          <w:numId w:val="2"/>
        </w:numPr>
        <w:spacing w:before="1" w:beforeAutospacing="off" w:line="252" w:lineRule="auto"/>
        <w:ind w:left="-20" w:right="-20" w:hanging="319"/>
        <w:jc w:val="both"/>
        <w:rPr>
          <w:rFonts w:ascii="Arial" w:hAnsi="Arial" w:eastAsia="Arial" w:cs="Arial"/>
          <w:noProof w:val="0"/>
          <w:color w:val="231F20"/>
          <w:sz w:val="18"/>
          <w:szCs w:val="18"/>
          <w:lang w:val="en-US"/>
        </w:rPr>
      </w:pPr>
      <w:r w:rsidRPr="3045E523" w:rsidR="7873CEA1">
        <w:rPr>
          <w:rFonts w:ascii="Arial" w:hAnsi="Arial" w:eastAsia="Arial" w:cs="Arial"/>
          <w:noProof w:val="0"/>
          <w:color w:val="231F20"/>
          <w:sz w:val="18"/>
          <w:szCs w:val="18"/>
          <w:lang w:val="en-US"/>
        </w:rPr>
        <w:t xml:space="preserve">Mittnacht AJ, Fanshawe M, Konstadt S. Anesthetic considerations in the patient with valvular heart disease undergoing noncardiac surgery. </w:t>
      </w:r>
      <w:r w:rsidRPr="3045E523" w:rsidR="7873CEA1">
        <w:rPr>
          <w:rFonts w:ascii="Arial" w:hAnsi="Arial" w:eastAsia="Arial" w:cs="Arial"/>
          <w:i w:val="1"/>
          <w:iCs w:val="1"/>
          <w:noProof w:val="0"/>
          <w:color w:val="231F20"/>
          <w:sz w:val="18"/>
          <w:szCs w:val="18"/>
          <w:lang w:val="en-US"/>
        </w:rPr>
        <w:t>Semin Cardiothorac Vasc Anesth</w:t>
      </w:r>
      <w:r w:rsidRPr="3045E523" w:rsidR="7873CEA1">
        <w:rPr>
          <w:rFonts w:ascii="Arial" w:hAnsi="Arial" w:eastAsia="Arial" w:cs="Arial"/>
          <w:noProof w:val="0"/>
          <w:color w:val="231F20"/>
          <w:sz w:val="18"/>
          <w:szCs w:val="18"/>
          <w:lang w:val="en-US"/>
        </w:rPr>
        <w:t>. 2008;12(1):33-59.</w:t>
      </w:r>
    </w:p>
    <w:p w:rsidR="3045E523" w:rsidP="3045E523" w:rsidRDefault="3045E523" w14:paraId="62BA90CC" w14:textId="00C7765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7">
    <w:nsid w:val="262dfc01"/>
    <w:multiLevelType xmlns:w="http://schemas.openxmlformats.org/wordprocessingml/2006/main" w:val="hybridMultilevel"/>
    <w:lvl xmlns:w="http://schemas.openxmlformats.org/wordprocessingml/2006/main" w:ilvl="0">
      <w:start w:val="2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9d0eed7"/>
    <w:multiLevelType xmlns:w="http://schemas.openxmlformats.org/wordprocessingml/2006/main" w:val="hybridMultilevel"/>
    <w:lvl xmlns:w="http://schemas.openxmlformats.org/wordprocessingml/2006/main" w:ilvl="0">
      <w:start w:val="2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d88bd1e"/>
    <w:multiLevelType xmlns:w="http://schemas.openxmlformats.org/wordprocessingml/2006/main" w:val="hybridMultilevel"/>
    <w:lvl xmlns:w="http://schemas.openxmlformats.org/wordprocessingml/2006/main" w:ilvl="0">
      <w:start w:val="2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a25b565"/>
    <w:multiLevelType xmlns:w="http://schemas.openxmlformats.org/wordprocessingml/2006/main" w:val="hybridMultilevel"/>
    <w:lvl xmlns:w="http://schemas.openxmlformats.org/wordprocessingml/2006/main" w:ilvl="0">
      <w:start w:val="2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340cd154"/>
    <w:multiLevelType xmlns:w="http://schemas.openxmlformats.org/wordprocessingml/2006/main" w:val="hybridMultilevel"/>
    <w:lvl xmlns:w="http://schemas.openxmlformats.org/wordprocessingml/2006/main" w:ilvl="0">
      <w:start w:val="2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3653110"/>
    <w:multiLevelType xmlns:w="http://schemas.openxmlformats.org/wordprocessingml/2006/main" w:val="hybridMultilevel"/>
    <w:lvl xmlns:w="http://schemas.openxmlformats.org/wordprocessingml/2006/main" w:ilvl="0">
      <w:start w:val="2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4c26f926"/>
    <w:multiLevelType xmlns:w="http://schemas.openxmlformats.org/wordprocessingml/2006/main" w:val="hybridMultilevel"/>
    <w:lvl xmlns:w="http://schemas.openxmlformats.org/wordprocessingml/2006/main" w:ilvl="0">
      <w:start w:val="2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f8280c3"/>
    <w:multiLevelType xmlns:w="http://schemas.openxmlformats.org/wordprocessingml/2006/main" w:val="hybridMultilevel"/>
    <w:lvl xmlns:w="http://schemas.openxmlformats.org/wordprocessingml/2006/main" w:ilvl="0">
      <w:start w:val="1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c0d9b49"/>
    <w:multiLevelType xmlns:w="http://schemas.openxmlformats.org/wordprocessingml/2006/main" w:val="hybridMultilevel"/>
    <w:lvl xmlns:w="http://schemas.openxmlformats.org/wordprocessingml/2006/main" w:ilvl="0">
      <w:start w:val="1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bf8b9c0"/>
    <w:multiLevelType xmlns:w="http://schemas.openxmlformats.org/wordprocessingml/2006/main" w:val="hybridMultilevel"/>
    <w:lvl xmlns:w="http://schemas.openxmlformats.org/wordprocessingml/2006/main" w:ilvl="0">
      <w:start w:val="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fa0c135"/>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62343ad"/>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231b007"/>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318bb70"/>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b283c69"/>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fc69024"/>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bd5d70"/>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9b59185"/>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0e29f01"/>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85da1cf"/>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2549856"/>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b90981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b8258f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c45c52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5b658e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fefd9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29a78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9777CF"/>
    <w:rsid w:val="039993F1"/>
    <w:rsid w:val="08C60E82"/>
    <w:rsid w:val="0AF35396"/>
    <w:rsid w:val="0FCEE524"/>
    <w:rsid w:val="1151BFF9"/>
    <w:rsid w:val="116AB585"/>
    <w:rsid w:val="118BD8F8"/>
    <w:rsid w:val="12F909B5"/>
    <w:rsid w:val="1464F5C7"/>
    <w:rsid w:val="14C379BA"/>
    <w:rsid w:val="158F15FA"/>
    <w:rsid w:val="1630AA77"/>
    <w:rsid w:val="17CC7AD8"/>
    <w:rsid w:val="1B73E4FC"/>
    <w:rsid w:val="219777CF"/>
    <w:rsid w:val="272EE508"/>
    <w:rsid w:val="292C8324"/>
    <w:rsid w:val="2AF2489B"/>
    <w:rsid w:val="2D2541AF"/>
    <w:rsid w:val="3045E523"/>
    <w:rsid w:val="33089D17"/>
    <w:rsid w:val="35489928"/>
    <w:rsid w:val="380AB63F"/>
    <w:rsid w:val="3E656529"/>
    <w:rsid w:val="405A7AC2"/>
    <w:rsid w:val="40F3D89E"/>
    <w:rsid w:val="4114FC11"/>
    <w:rsid w:val="444C9CD3"/>
    <w:rsid w:val="45433277"/>
    <w:rsid w:val="45C75459"/>
    <w:rsid w:val="4642CCDF"/>
    <w:rsid w:val="47DE9D40"/>
    <w:rsid w:val="497A6DA1"/>
    <w:rsid w:val="4C86A085"/>
    <w:rsid w:val="534AE067"/>
    <w:rsid w:val="5542864F"/>
    <w:rsid w:val="557F02BC"/>
    <w:rsid w:val="57C50101"/>
    <w:rsid w:val="5CAE64C8"/>
    <w:rsid w:val="5DBE4F0D"/>
    <w:rsid w:val="66A7875D"/>
    <w:rsid w:val="67273EEF"/>
    <w:rsid w:val="6A2818E8"/>
    <w:rsid w:val="6E1B0BE8"/>
    <w:rsid w:val="6EC0F57A"/>
    <w:rsid w:val="7642AC9C"/>
    <w:rsid w:val="7873CEA1"/>
    <w:rsid w:val="7C0FC3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77CF"/>
  <w15:chartTrackingRefBased/>
  <w15:docId w15:val="{5EB362AA-186F-4BFA-AFD1-04ECCC4E87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be3a24f1a58d45a6" Type="http://schemas.openxmlformats.org/officeDocument/2006/relationships/hyperlink" Target="mailto:dawson.lafleur@kingstonhsc.ca"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01c73141fffb4e35"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8" ma:contentTypeDescription="Create a new document." ma:contentTypeScope="" ma:versionID="22fc0010a7279e531d3bb6577102c50a">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d8510fcf984802c0221d83c96406c989"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Props1.xml><?xml version="1.0" encoding="utf-8"?>
<ds:datastoreItem xmlns:ds="http://schemas.openxmlformats.org/officeDocument/2006/customXml" ds:itemID="{FFFF851F-AF54-4AEF-9401-5C5CEFD12328}"/>
</file>

<file path=customXml/itemProps2.xml><?xml version="1.0" encoding="utf-8"?>
<ds:datastoreItem xmlns:ds="http://schemas.openxmlformats.org/officeDocument/2006/customXml" ds:itemID="{9E170456-F17E-4FA3-95F3-0F65FA199AA6}"/>
</file>

<file path=customXml/itemProps3.xml><?xml version="1.0" encoding="utf-8"?>
<ds:datastoreItem xmlns:ds="http://schemas.openxmlformats.org/officeDocument/2006/customXml" ds:itemID="{78DEDF91-C88E-465D-9AA9-C91B287031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Garriga</dc:creator>
  <cp:keywords/>
  <dc:description/>
  <cp:lastModifiedBy>Rosa Garriga</cp:lastModifiedBy>
  <dcterms:created xsi:type="dcterms:W3CDTF">2024-03-06T15:22:26Z</dcterms:created>
  <dcterms:modified xsi:type="dcterms:W3CDTF">2024-03-06T16:47:42Z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ies>
</file>