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2234" w14:textId="77777777" w:rsidR="00867206" w:rsidRDefault="00000000">
      <w:pPr>
        <w:pStyle w:val="Corpodetexto"/>
        <w:rPr>
          <w:rFonts w:ascii="Times New Roman"/>
          <w:sz w:val="20"/>
        </w:rPr>
      </w:pPr>
      <w:r>
        <w:pict w14:anchorId="2ECB2331">
          <v:group id="docshapegroup4" o:spid="_x0000_s2160" alt="" style="position:absolute;margin-left:0;margin-top:0;width:612pt;height:42.3pt;z-index:-16019456;mso-position-horizontal-relative:page;mso-position-vertical-relative:page" coordsize="12240,846">
            <v:rect id="docshape5" o:spid="_x0000_s2161" alt="" style="position:absolute;width:12240;height:846" fillcolor="#7e7e7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162" type="#_x0000_t202" alt="" style="position:absolute;left:1152;top:370;width:6701;height:319;mso-wrap-style:square;v-text-anchor:top" filled="f" stroked="f">
              <v:textbox inset="0,0,0,0">
                <w:txbxContent>
                  <w:p w14:paraId="2ECB234F" w14:textId="77777777" w:rsidR="00867206" w:rsidRDefault="00000000">
                    <w:pPr>
                      <w:pStyle w:val="P68B1DB1-Normal1"/>
                      <w:tabs>
                        <w:tab w:val="left" w:pos="3285"/>
                      </w:tabs>
                      <w:spacing w:line="319" w:lineRule="exact"/>
                    </w:pPr>
                    <w:r>
                      <w:t>ANESTESIA</w:t>
                    </w:r>
                    <w:r>
                      <w:tab/>
                      <w:t>PEDIATRICA</w:t>
                    </w:r>
                  </w:p>
                </w:txbxContent>
              </v:textbox>
            </v:shape>
            <v:shape id="docshape7" o:spid="_x0000_s2163" type="#_x0000_t202" alt="" style="position:absolute;left:8900;top:370;width:2208;height:319;mso-wrap-style:square;v-text-anchor:top" filled="f" stroked="f">
              <v:textbox inset="0,0,0,0">
                <w:txbxContent>
                  <w:p w14:paraId="2ECB2350" w14:textId="77777777" w:rsidR="00867206" w:rsidRDefault="00000000">
                    <w:pPr>
                      <w:pStyle w:val="P68B1DB1-Normal1"/>
                      <w:spacing w:line="319" w:lineRule="exact"/>
                    </w:pPr>
                    <w:r>
                      <w:t>Tutorial 479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ECB2235" w14:textId="77777777" w:rsidR="00867206" w:rsidRDefault="00867206">
      <w:pPr>
        <w:pStyle w:val="Corpodetexto"/>
        <w:rPr>
          <w:rFonts w:ascii="Times New Roman"/>
          <w:sz w:val="20"/>
        </w:rPr>
      </w:pPr>
    </w:p>
    <w:p w14:paraId="2ECB2236" w14:textId="77777777" w:rsidR="00867206" w:rsidRDefault="00867206">
      <w:pPr>
        <w:pStyle w:val="Corpodetexto"/>
        <w:rPr>
          <w:rFonts w:ascii="Times New Roman"/>
          <w:sz w:val="20"/>
        </w:rPr>
      </w:pPr>
    </w:p>
    <w:p w14:paraId="2ECB2237" w14:textId="77777777" w:rsidR="00867206" w:rsidRDefault="00867206">
      <w:pPr>
        <w:pStyle w:val="Corpodetexto"/>
        <w:rPr>
          <w:rFonts w:ascii="Times New Roman"/>
          <w:sz w:val="20"/>
        </w:rPr>
      </w:pPr>
    </w:p>
    <w:p w14:paraId="2ECB2238" w14:textId="77777777" w:rsidR="00867206" w:rsidRDefault="00867206">
      <w:pPr>
        <w:pStyle w:val="Corpodetexto"/>
        <w:rPr>
          <w:rFonts w:ascii="Times New Roman"/>
          <w:sz w:val="20"/>
        </w:rPr>
      </w:pPr>
    </w:p>
    <w:p w14:paraId="2ECB2239" w14:textId="77777777" w:rsidR="00867206" w:rsidRDefault="00867206">
      <w:pPr>
        <w:pStyle w:val="Corpodetexto"/>
        <w:rPr>
          <w:rFonts w:ascii="Times New Roman"/>
          <w:sz w:val="20"/>
        </w:rPr>
      </w:pPr>
    </w:p>
    <w:p w14:paraId="2ECB223A" w14:textId="77777777" w:rsidR="00867206" w:rsidRDefault="00867206">
      <w:pPr>
        <w:pStyle w:val="Corpodetexto"/>
        <w:spacing w:before="8"/>
        <w:rPr>
          <w:rFonts w:ascii="Times New Roman"/>
        </w:rPr>
      </w:pPr>
    </w:p>
    <w:p w14:paraId="2ECB223B" w14:textId="77777777" w:rsidR="00867206" w:rsidRDefault="00000000">
      <w:pPr>
        <w:pStyle w:val="Ttulo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ECB2332" wp14:editId="2ECB2333">
            <wp:simplePos x="0" y="0"/>
            <wp:positionH relativeFrom="page">
              <wp:posOffset>5482793</wp:posOffset>
            </wp:positionH>
            <wp:positionV relativeFrom="paragraph">
              <wp:posOffset>81568</wp:posOffset>
            </wp:positionV>
            <wp:extent cx="1556638" cy="18741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638" cy="187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Vômitos Pediátricos Pós-operatórios</w:t>
      </w:r>
    </w:p>
    <w:p w14:paraId="2ECB223C" w14:textId="77777777" w:rsidR="00867206" w:rsidRDefault="00867206">
      <w:pPr>
        <w:pStyle w:val="Corpodetexto"/>
        <w:spacing w:before="6"/>
        <w:rPr>
          <w:sz w:val="40"/>
        </w:rPr>
      </w:pPr>
    </w:p>
    <w:p w14:paraId="2ECB223D" w14:textId="77777777" w:rsidR="00867206" w:rsidRDefault="00000000">
      <w:pPr>
        <w:pStyle w:val="P68B1DB1-Normal2"/>
        <w:ind w:left="112"/>
      </w:pPr>
      <w:r>
        <w:t>Dr Rachel Ariyanayagam</w:t>
      </w:r>
      <w:r>
        <w:rPr>
          <w:vertAlign w:val="superscript"/>
        </w:rPr>
        <w:t>1†</w:t>
      </w:r>
      <w:r>
        <w:t>, Dr Bobby Krishnachetty</w:t>
      </w:r>
      <w:r>
        <w:rPr>
          <w:vertAlign w:val="superscript"/>
        </w:rPr>
        <w:t>2</w:t>
      </w:r>
    </w:p>
    <w:p w14:paraId="2ECB223E" w14:textId="77777777" w:rsidR="00867206" w:rsidRPr="00C04269" w:rsidRDefault="00000000">
      <w:pPr>
        <w:pStyle w:val="P68B1DB1-BodyText3"/>
        <w:spacing w:before="222" w:line="254" w:lineRule="auto"/>
        <w:ind w:left="112" w:right="5295"/>
        <w:rPr>
          <w:lang w:val="en-US"/>
        </w:rPr>
      </w:pPr>
      <w:r w:rsidRPr="00C04269">
        <w:rPr>
          <w:lang w:val="en-US"/>
        </w:rPr>
        <w:t xml:space="preserve">Consultor </w:t>
      </w:r>
      <w:proofErr w:type="spellStart"/>
      <w:r w:rsidRPr="00C04269">
        <w:rPr>
          <w:lang w:val="en-US"/>
        </w:rPr>
        <w:t>Anestesista</w:t>
      </w:r>
      <w:proofErr w:type="spellEnd"/>
      <w:r w:rsidRPr="00C04269">
        <w:rPr>
          <w:lang w:val="en-US"/>
        </w:rPr>
        <w:t xml:space="preserve">, Broomfield Hospital, UK Consultor </w:t>
      </w:r>
      <w:proofErr w:type="spellStart"/>
      <w:r w:rsidRPr="00C04269">
        <w:rPr>
          <w:lang w:val="en-US"/>
        </w:rPr>
        <w:t>Anestesista</w:t>
      </w:r>
      <w:proofErr w:type="spellEnd"/>
      <w:r w:rsidRPr="00C04269">
        <w:rPr>
          <w:lang w:val="en-US"/>
        </w:rPr>
        <w:t xml:space="preserve">, </w:t>
      </w:r>
      <w:proofErr w:type="spellStart"/>
      <w:r w:rsidRPr="00C04269">
        <w:rPr>
          <w:lang w:val="en-US"/>
        </w:rPr>
        <w:t>Southend</w:t>
      </w:r>
      <w:proofErr w:type="spellEnd"/>
      <w:r w:rsidRPr="00C04269">
        <w:rPr>
          <w:lang w:val="en-US"/>
        </w:rPr>
        <w:t xml:space="preserve"> University Hospital, UK</w:t>
      </w:r>
    </w:p>
    <w:p w14:paraId="2ECB223F" w14:textId="77777777" w:rsidR="00867206" w:rsidRPr="00C04269" w:rsidRDefault="00867206">
      <w:pPr>
        <w:pStyle w:val="Corpodetexto"/>
        <w:spacing w:before="1"/>
        <w:rPr>
          <w:sz w:val="19"/>
          <w:lang w:val="en-US"/>
        </w:rPr>
      </w:pPr>
    </w:p>
    <w:p w14:paraId="2ECB2240" w14:textId="77777777" w:rsidR="00867206" w:rsidRPr="00C04269" w:rsidRDefault="00000000">
      <w:pPr>
        <w:pStyle w:val="P68B1DB1-BodyText3"/>
        <w:spacing w:line="254" w:lineRule="auto"/>
        <w:ind w:left="112" w:right="2961"/>
        <w:jc w:val="both"/>
        <w:rPr>
          <w:lang w:val="en-US"/>
        </w:rPr>
      </w:pPr>
      <w:proofErr w:type="spellStart"/>
      <w:r w:rsidRPr="00C04269">
        <w:rPr>
          <w:lang w:val="en-US"/>
        </w:rPr>
        <w:t>Editado</w:t>
      </w:r>
      <w:proofErr w:type="spellEnd"/>
      <w:r w:rsidRPr="00C04269">
        <w:rPr>
          <w:lang w:val="en-US"/>
        </w:rPr>
        <w:t xml:space="preserve"> </w:t>
      </w:r>
      <w:proofErr w:type="spellStart"/>
      <w:r w:rsidRPr="00C04269">
        <w:rPr>
          <w:lang w:val="en-US"/>
        </w:rPr>
        <w:t>por</w:t>
      </w:r>
      <w:proofErr w:type="spellEnd"/>
      <w:r w:rsidRPr="00C04269">
        <w:rPr>
          <w:lang w:val="en-US"/>
        </w:rPr>
        <w:t xml:space="preserve">: Dr. William Francis Powell Jr, </w:t>
      </w:r>
      <w:proofErr w:type="spellStart"/>
      <w:r w:rsidRPr="00C04269">
        <w:rPr>
          <w:lang w:val="en-US"/>
        </w:rPr>
        <w:t>Instrutor</w:t>
      </w:r>
      <w:proofErr w:type="spellEnd"/>
      <w:r w:rsidRPr="00C04269">
        <w:rPr>
          <w:lang w:val="en-US"/>
        </w:rPr>
        <w:t xml:space="preserve"> </w:t>
      </w:r>
      <w:proofErr w:type="spellStart"/>
      <w:r w:rsidRPr="00C04269">
        <w:rPr>
          <w:lang w:val="en-US"/>
        </w:rPr>
        <w:t>em</w:t>
      </w:r>
      <w:proofErr w:type="spellEnd"/>
      <w:r w:rsidRPr="00C04269">
        <w:rPr>
          <w:lang w:val="en-US"/>
        </w:rPr>
        <w:t xml:space="preserve"> </w:t>
      </w:r>
      <w:proofErr w:type="spellStart"/>
      <w:r w:rsidRPr="00C04269">
        <w:rPr>
          <w:lang w:val="en-US"/>
        </w:rPr>
        <w:t>Anestesia</w:t>
      </w:r>
      <w:proofErr w:type="spellEnd"/>
      <w:r w:rsidRPr="00C04269">
        <w:rPr>
          <w:lang w:val="en-US"/>
        </w:rPr>
        <w:t xml:space="preserve">, Massachusetts Eye and Ear, Harvard Medical School, EUA; Dra. Kate Wilson, </w:t>
      </w:r>
      <w:proofErr w:type="spellStart"/>
      <w:r w:rsidRPr="00C04269">
        <w:rPr>
          <w:lang w:val="en-US"/>
        </w:rPr>
        <w:t>Consultora</w:t>
      </w:r>
      <w:proofErr w:type="spellEnd"/>
      <w:r w:rsidRPr="00C04269">
        <w:rPr>
          <w:lang w:val="en-US"/>
        </w:rPr>
        <w:t xml:space="preserve"> de </w:t>
      </w:r>
      <w:proofErr w:type="spellStart"/>
      <w:r w:rsidRPr="00C04269">
        <w:rPr>
          <w:lang w:val="en-US"/>
        </w:rPr>
        <w:t>Anestesia</w:t>
      </w:r>
      <w:proofErr w:type="spellEnd"/>
      <w:r w:rsidRPr="00C04269">
        <w:rPr>
          <w:lang w:val="en-US"/>
        </w:rPr>
        <w:t xml:space="preserve"> </w:t>
      </w:r>
      <w:proofErr w:type="spellStart"/>
      <w:r w:rsidRPr="00C04269">
        <w:rPr>
          <w:lang w:val="en-US"/>
        </w:rPr>
        <w:t>Pediátrica</w:t>
      </w:r>
      <w:proofErr w:type="spellEnd"/>
      <w:r w:rsidRPr="00C04269">
        <w:rPr>
          <w:lang w:val="en-US"/>
        </w:rPr>
        <w:t xml:space="preserve">, Sheffield Children 's NHS Foundation Trust, </w:t>
      </w:r>
      <w:proofErr w:type="spellStart"/>
      <w:r w:rsidRPr="00C04269">
        <w:rPr>
          <w:lang w:val="en-US"/>
        </w:rPr>
        <w:t>Reino</w:t>
      </w:r>
      <w:proofErr w:type="spellEnd"/>
      <w:r w:rsidRPr="00C04269">
        <w:rPr>
          <w:lang w:val="en-US"/>
        </w:rPr>
        <w:t xml:space="preserve"> </w:t>
      </w:r>
      <w:proofErr w:type="spellStart"/>
      <w:r w:rsidRPr="00C04269">
        <w:rPr>
          <w:lang w:val="en-US"/>
        </w:rPr>
        <w:t>Unido</w:t>
      </w:r>
      <w:proofErr w:type="spellEnd"/>
    </w:p>
    <w:p w14:paraId="2ECB2241" w14:textId="77777777" w:rsidR="00867206" w:rsidRPr="00C04269" w:rsidRDefault="00867206">
      <w:pPr>
        <w:pStyle w:val="Corpodetexto"/>
        <w:spacing w:before="11"/>
        <w:rPr>
          <w:lang w:val="en-US"/>
        </w:rPr>
      </w:pPr>
    </w:p>
    <w:p w14:paraId="2ECB2242" w14:textId="77777777" w:rsidR="00867206" w:rsidRDefault="00000000">
      <w:pPr>
        <w:pStyle w:val="P68B1DB1-BodyText3"/>
        <w:ind w:left="112"/>
        <w:jc w:val="both"/>
      </w:pPr>
      <w:r>
        <w:rPr>
          <w:vertAlign w:val="superscript"/>
        </w:rPr>
        <w:t>†</w:t>
      </w:r>
      <w:r>
        <w:t xml:space="preserve"> E-mail do autor correspondente: </w:t>
      </w:r>
      <w:hyperlink r:id="rId11">
        <w:r>
          <w:t>r.ariyanayagam@nhs.net</w:t>
        </w:r>
      </w:hyperlink>
    </w:p>
    <w:p w14:paraId="2ECB2243" w14:textId="77777777" w:rsidR="00867206" w:rsidRDefault="00867206">
      <w:pPr>
        <w:pStyle w:val="Corpodetexto"/>
        <w:spacing w:before="2"/>
        <w:rPr>
          <w:sz w:val="20"/>
        </w:rPr>
      </w:pPr>
    </w:p>
    <w:p w14:paraId="2ECB2244" w14:textId="77777777" w:rsidR="00867206" w:rsidRDefault="00000000">
      <w:pPr>
        <w:pStyle w:val="P68B1DB1-Normal4"/>
        <w:ind w:left="112"/>
        <w:jc w:val="both"/>
      </w:pPr>
      <w:r>
        <w:t>Publicado em 30 de agosto de 2022</w:t>
      </w:r>
    </w:p>
    <w:p w14:paraId="2ECB2245" w14:textId="77777777" w:rsidR="00867206" w:rsidRDefault="00000000">
      <w:pPr>
        <w:pStyle w:val="Corpodetexto"/>
        <w:spacing w:before="1"/>
        <w:rPr>
          <w:i/>
          <w:sz w:val="24"/>
        </w:rPr>
      </w:pPr>
      <w:r>
        <w:pict w14:anchorId="2ECB2334">
          <v:shape id="docshape8" o:spid="_x0000_s2159" type="#_x0000_t202" alt="" style="position:absolute;margin-left:57.6pt;margin-top:15.05pt;width:496.8pt;height:127pt;z-index:-15728640;mso-wrap-style:square;mso-wrap-edited:f;mso-width-percent:0;mso-height-percent:0;mso-wrap-distance-left:0;mso-wrap-distance-right:0;mso-position-horizontal-relative:page;mso-width-percent:0;mso-height-percent:0;v-text-anchor:top" fillcolor="#dcddde" stroked="f">
            <v:textbox inset="0,0,0,0">
              <w:txbxContent>
                <w:p w14:paraId="2ECB2351" w14:textId="77777777" w:rsidR="00867206" w:rsidRDefault="00000000">
                  <w:pPr>
                    <w:pStyle w:val="P68B1DB1-Normal5"/>
                    <w:spacing w:before="143"/>
                    <w:ind w:left="179"/>
                    <w:rPr>
                      <w:color w:val="000000"/>
                    </w:rPr>
                  </w:pPr>
                  <w:r>
                    <w:t>PONTOS-CHAVE</w:t>
                  </w:r>
                </w:p>
                <w:p w14:paraId="2ECB2352" w14:textId="77777777" w:rsidR="00867206" w:rsidRDefault="00000000">
                  <w:pPr>
                    <w:pStyle w:val="P68B1DB1-BodyText3"/>
                    <w:numPr>
                      <w:ilvl w:val="0"/>
                      <w:numId w:val="4"/>
                    </w:numPr>
                    <w:tabs>
                      <w:tab w:val="left" w:pos="367"/>
                    </w:tabs>
                    <w:spacing w:before="139"/>
                    <w:ind w:hanging="193"/>
                    <w:rPr>
                      <w:color w:val="000000"/>
                    </w:rPr>
                  </w:pPr>
                  <w:r>
                    <w:t>Náuseas e vômitos pós-operatórios (NVPO) são angustiantes e aumentam a morbidade pós-operatória.</w:t>
                  </w:r>
                </w:p>
                <w:p w14:paraId="2ECB2353" w14:textId="77777777" w:rsidR="00867206" w:rsidRDefault="00000000">
                  <w:pPr>
                    <w:pStyle w:val="P68B1DB1-BodyText3"/>
                    <w:numPr>
                      <w:ilvl w:val="0"/>
                      <w:numId w:val="4"/>
                    </w:numPr>
                    <w:tabs>
                      <w:tab w:val="left" w:pos="367"/>
                    </w:tabs>
                    <w:spacing w:before="12"/>
                    <w:ind w:hanging="186"/>
                    <w:rPr>
                      <w:color w:val="000000"/>
                    </w:rPr>
                  </w:pPr>
                  <w:r>
                    <w:t>O centro de vômito coordena o reflexo fisiológico do vômito, com entradas centrais e periféricas.</w:t>
                  </w:r>
                </w:p>
                <w:p w14:paraId="2ECB2354" w14:textId="77777777" w:rsidR="00867206" w:rsidRDefault="00000000">
                  <w:pPr>
                    <w:pStyle w:val="P68B1DB1-BodyText3"/>
                    <w:numPr>
                      <w:ilvl w:val="0"/>
                      <w:numId w:val="4"/>
                    </w:numPr>
                    <w:tabs>
                      <w:tab w:val="left" w:pos="367"/>
                    </w:tabs>
                    <w:spacing w:before="13" w:line="254" w:lineRule="auto"/>
                    <w:ind w:right="356" w:hanging="185"/>
                    <w:rPr>
                      <w:color w:val="000000"/>
                    </w:rPr>
                  </w:pPr>
                  <w:r>
                    <w:t>A prevenção da NVPO requer a identificação de crianças com risco aumentado, utilizando técnicas anestésicas que minimizem a incidência de NVPO e implementando profilaxia antiemética ajustada ao seu nível de risco.</w:t>
                  </w:r>
                </w:p>
                <w:p w14:paraId="2ECB2355" w14:textId="77777777" w:rsidR="00867206" w:rsidRDefault="00000000">
                  <w:pPr>
                    <w:pStyle w:val="P68B1DB1-BodyText3"/>
                    <w:numPr>
                      <w:ilvl w:val="0"/>
                      <w:numId w:val="4"/>
                    </w:numPr>
                    <w:tabs>
                      <w:tab w:val="left" w:pos="367"/>
                    </w:tabs>
                    <w:spacing w:line="254" w:lineRule="auto"/>
                    <w:ind w:right="357" w:hanging="185"/>
                    <w:rPr>
                      <w:color w:val="000000"/>
                    </w:rPr>
                  </w:pPr>
                  <w:r>
                    <w:t>Os antagonistas da 5-HT3 e/ou a dexametasona são a base da profilaxia. Existem também evidências para profilaxia alternativa farmacológica e não farmacológica de vômitos pós-operatórios.</w:t>
                  </w:r>
                </w:p>
                <w:p w14:paraId="2ECB2356" w14:textId="77777777" w:rsidR="00867206" w:rsidRDefault="00000000">
                  <w:pPr>
                    <w:pStyle w:val="P68B1DB1-BodyText3"/>
                    <w:numPr>
                      <w:ilvl w:val="0"/>
                      <w:numId w:val="4"/>
                    </w:numPr>
                    <w:tabs>
                      <w:tab w:val="left" w:pos="367"/>
                    </w:tabs>
                    <w:spacing w:line="254" w:lineRule="auto"/>
                    <w:ind w:right="356" w:hanging="185"/>
                    <w:rPr>
                      <w:color w:val="000000"/>
                    </w:rPr>
                  </w:pPr>
                  <w:r>
                    <w:t>É provável que as diretrizes se desenvolvam à medida que mais evidências forem coletadas sobre crianças em particular e à medida que novos agentes antieméticos surgirem.</w:t>
                  </w:r>
                </w:p>
              </w:txbxContent>
            </v:textbox>
            <w10:wrap type="topAndBottom" anchorx="page"/>
          </v:shape>
        </w:pict>
      </w:r>
    </w:p>
    <w:p w14:paraId="2ECB2246" w14:textId="77777777" w:rsidR="00867206" w:rsidRDefault="00867206">
      <w:pPr>
        <w:pStyle w:val="Corpodetexto"/>
        <w:rPr>
          <w:i/>
          <w:sz w:val="20"/>
        </w:rPr>
      </w:pPr>
    </w:p>
    <w:p w14:paraId="2ECB2247" w14:textId="77777777" w:rsidR="00867206" w:rsidRDefault="00000000">
      <w:pPr>
        <w:pStyle w:val="P68B1DB1-Heading16"/>
        <w:spacing w:before="63"/>
      </w:pPr>
      <w:r>
        <w:t>INTRODUÇÃO</w:t>
      </w:r>
    </w:p>
    <w:p w14:paraId="2ECB2248" w14:textId="77777777" w:rsidR="00867206" w:rsidRDefault="00000000">
      <w:pPr>
        <w:pStyle w:val="P68B1DB1-BodyText3"/>
        <w:spacing w:before="119" w:line="254" w:lineRule="auto"/>
        <w:ind w:left="111" w:right="111"/>
        <w:jc w:val="both"/>
      </w:pPr>
      <w:r>
        <w:t>Náuseas e vômitos pós-operatórios (NVPO) e vômitos pós-operatórios (VOP) são náuseas (a sensação subjetiva de doença) e/ou vômitos (a resposta objetiva de ejetar matéria do estômago) após anestesia ou cirurgia. Eles são sintomas angustiantes que podem afetar adversamente a satisfação do paciente e do cuidador, bem como aumentar o tempo de permanência e as taxas de readmissão.</w:t>
      </w:r>
      <w:r>
        <w:rPr>
          <w:vertAlign w:val="superscript"/>
        </w:rPr>
        <w:t>1</w:t>
      </w:r>
      <w:r>
        <w:t xml:space="preserve"> POV prolongado pode levar a outras complicações, como desidratação e desequilíbrio eletrolítico, ruptura ou sangramento da ferida ou pneumonite aspirativa,</w:t>
      </w:r>
      <w:r>
        <w:rPr>
          <w:vertAlign w:val="superscript"/>
        </w:rPr>
        <w:t>1</w:t>
      </w:r>
      <w:r>
        <w:t xml:space="preserve"> tornando sua prevenção e manejo cruciais para os cuidados perioperatórios. Dada a dificuldade que as crianças mais jovens ou pré-verbais têm em indicar a sensação de náusea, o vômito pós-operatório é considerado um desfecho mensurável mais apropriado, e as crianças são relatadas como tendo o dobro da incidência de POV (13% vs. 42%), em comparação com os adultos.</w:t>
      </w:r>
      <w:r>
        <w:rPr>
          <w:vertAlign w:val="superscript"/>
        </w:rPr>
        <w:t>2</w:t>
      </w:r>
      <w:r>
        <w:t xml:space="preserve"> </w:t>
      </w:r>
    </w:p>
    <w:p w14:paraId="2ECB2249" w14:textId="77777777" w:rsidR="00867206" w:rsidRDefault="00000000">
      <w:pPr>
        <w:pStyle w:val="P68B1DB1-BodyText3"/>
        <w:spacing w:before="118" w:line="254" w:lineRule="auto"/>
        <w:ind w:left="112" w:right="110"/>
        <w:jc w:val="both"/>
      </w:pPr>
      <w:r>
        <w:t>Este tutorial aborda o mecanismo fisiológico de náuseas e vômitos (devido à escassez de estudos em crianças, isso é baseado em estudos com adultos), a avaliação e mitigação de fatores de risco e as opções farmacológicas e não farmacológicas para o controle de náuseas e vômitos.</w:t>
      </w:r>
    </w:p>
    <w:p w14:paraId="2ECB224A" w14:textId="77777777" w:rsidR="00867206" w:rsidRDefault="00867206">
      <w:pPr>
        <w:pStyle w:val="Corpodetexto"/>
        <w:rPr>
          <w:sz w:val="21"/>
        </w:rPr>
      </w:pPr>
    </w:p>
    <w:p w14:paraId="2ECB224B" w14:textId="77777777" w:rsidR="00867206" w:rsidRDefault="00000000">
      <w:pPr>
        <w:pStyle w:val="P68B1DB1-Heading16"/>
      </w:pPr>
      <w:r>
        <w:t>VIA FISIOLÓGICA DO VÔMITO</w:t>
      </w:r>
    </w:p>
    <w:p w14:paraId="2ECB224C" w14:textId="5FD86DEF" w:rsidR="00867206" w:rsidRDefault="00000000">
      <w:pPr>
        <w:pStyle w:val="Corpodetexto"/>
        <w:spacing w:before="119" w:line="254" w:lineRule="auto"/>
        <w:ind w:left="111" w:right="110"/>
        <w:jc w:val="both"/>
      </w:pPr>
      <w:r>
        <w:rPr>
          <w:color w:val="231F20"/>
        </w:rPr>
        <w:t>O centro de vômito, localizado na medula, controla o ato de vomitar. Recebe sinais de receptores muscarínicos de acetilcolina (mACh) e neuroquinina tipo 1 (NK1) e integra sinais das seguintes fontes através de vias neurais</w:t>
      </w:r>
      <w:r>
        <w:rPr>
          <w:color w:val="231F20"/>
          <w:vertAlign w:val="superscript"/>
        </w:rPr>
        <w:t>1,3</w:t>
      </w:r>
      <w:r>
        <w:rPr>
          <w:color w:val="231F20"/>
        </w:rPr>
        <w:t xml:space="preserve"> (Figura 1).</w:t>
      </w:r>
    </w:p>
    <w:p w14:paraId="2ECB224D" w14:textId="77777777" w:rsidR="00867206" w:rsidRDefault="00867206">
      <w:pPr>
        <w:pStyle w:val="Corpodetexto"/>
        <w:rPr>
          <w:sz w:val="20"/>
        </w:rPr>
      </w:pPr>
    </w:p>
    <w:p w14:paraId="2ECB224E" w14:textId="77777777" w:rsidR="00867206" w:rsidRDefault="00867206">
      <w:pPr>
        <w:pStyle w:val="Corpodetexto"/>
        <w:rPr>
          <w:sz w:val="20"/>
        </w:rPr>
      </w:pPr>
    </w:p>
    <w:p w14:paraId="2ECB224F" w14:textId="77777777" w:rsidR="00867206" w:rsidRDefault="00867206">
      <w:pPr>
        <w:pStyle w:val="Corpodetexto"/>
        <w:rPr>
          <w:sz w:val="20"/>
        </w:rPr>
      </w:pPr>
    </w:p>
    <w:p w14:paraId="2ECB2250" w14:textId="77777777" w:rsidR="00867206" w:rsidRDefault="00867206">
      <w:pPr>
        <w:pStyle w:val="Corpodetexto"/>
        <w:rPr>
          <w:sz w:val="20"/>
        </w:rPr>
      </w:pPr>
    </w:p>
    <w:p w14:paraId="2ECB2251" w14:textId="535F9939" w:rsidR="00867206" w:rsidRDefault="00C04269">
      <w:pPr>
        <w:pStyle w:val="Corpodetexto"/>
        <w:spacing w:before="11"/>
        <w:rPr>
          <w:sz w:val="10"/>
        </w:rPr>
      </w:pPr>
      <w:r>
        <w:pict w14:anchorId="2ECB2335">
          <v:group id="docshapegroup9" o:spid="_x0000_s2155" alt="" style="position:absolute;margin-left:446.95pt;margin-top:5.2pt;width:107.45pt;height:35.95pt;z-index:15730688;mso-position-horizontal-relative:page" coordorigin="8939,1841" coordsize="2149,579">
            <v:rect id="docshape10" o:spid="_x0000_s2156" alt="" style="position:absolute;left:8939;top:1841;width:2149;height:579" fillcolor="#7dc04d" stroked="f"/>
            <v:rect id="docshape11" o:spid="_x0000_s2157" alt="" style="position:absolute;left:9042;top:2252;width:1943;height:20" fillcolor="blue" stroked="f"/>
            <v:shape id="docshape12" o:spid="_x0000_s2158" type="#_x0000_t202" alt="" style="position:absolute;left:8941;top:1843;width:2145;height:574;mso-wrap-style:square;v-text-anchor:top" filled="f" strokecolor="#466e3f" strokeweight=".08mm">
              <v:textbox inset="0,0,0,0">
                <w:txbxContent>
                  <w:p w14:paraId="2ECB2357" w14:textId="77777777" w:rsidR="00867206" w:rsidRDefault="00000000">
                    <w:pPr>
                      <w:pStyle w:val="P68B1DB1-Normal7"/>
                      <w:spacing w:before="149"/>
                      <w:ind w:left="98"/>
                    </w:pPr>
                    <w:hyperlink r:id="rId12">
                      <w:r>
                        <w:t>FAÇA O TESTE ONLINE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000000">
        <w:pict w14:anchorId="2ECB2336">
          <v:shape id="docshape13" o:spid="_x0000_s2154" alt="" style="position:absolute;margin-left:57.6pt;margin-top:7.5pt;width:382.1pt;height:.1pt;z-index:-15728128;mso-wrap-edited:f;mso-width-percent:0;mso-height-percent:0;mso-wrap-distance-left:0;mso-wrap-distance-right:0;mso-position-horizontal-relative:page;mso-width-percent:0;mso-height-percent:0" coordsize="7642,1270" path="m,l7641,e" filled="f" strokecolor="#231f20" strokeweight=".16017mm">
            <v:path arrowok="t" o:connecttype="custom" o:connectlocs="0,0;4852035,0" o:connectangles="0,0"/>
            <w10:wrap type="topAndBottom" anchorx="page"/>
          </v:shape>
        </w:pict>
      </w:r>
    </w:p>
    <w:p w14:paraId="2ECB2252" w14:textId="5CC02BDD" w:rsidR="00867206" w:rsidRDefault="00000000">
      <w:pPr>
        <w:pStyle w:val="P68B1DB1-Normal8"/>
        <w:spacing w:before="63" w:line="232" w:lineRule="auto"/>
        <w:ind w:left="112" w:right="2413"/>
        <w:jc w:val="both"/>
      </w:pPr>
      <w:r>
        <w:rPr>
          <w:color w:val="231F20"/>
        </w:rPr>
        <w:t xml:space="preserve">Um teste online está disponível para educação médica continuada autodirigida (CME). Estima-se que demore 1 hora para ser concluído. Registre o tempo gasto e relate isso ao seu organismo de credenciamento se desejar reivindicar os pontos CME. Um certificado será concedido após a aprovação no teste. Consulte a política de acreditação </w:t>
      </w:r>
      <w:hyperlink r:id="rId13">
        <w:r>
          <w:rPr>
            <w:color w:val="0000FF"/>
            <w:u w:val="single" w:color="0000FF"/>
          </w:rPr>
          <w:t>aqui</w:t>
        </w:r>
      </w:hyperlink>
      <w:hyperlink r:id="rId14">
        <w:r>
          <w:t>.</w:t>
        </w:r>
      </w:hyperlink>
    </w:p>
    <w:p w14:paraId="2ECB2253" w14:textId="77777777" w:rsidR="00867206" w:rsidRDefault="00867206">
      <w:pPr>
        <w:spacing w:line="232" w:lineRule="auto"/>
        <w:jc w:val="both"/>
        <w:rPr>
          <w:sz w:val="16"/>
        </w:rPr>
        <w:sectPr w:rsidR="00867206">
          <w:footerReference w:type="default" r:id="rId15"/>
          <w:type w:val="continuous"/>
          <w:pgSz w:w="12240" w:h="15840"/>
          <w:pgMar w:top="0" w:right="1040" w:bottom="1160" w:left="1040" w:header="0" w:footer="962" w:gutter="0"/>
          <w:pgNumType w:start="1"/>
          <w:cols w:space="720"/>
        </w:sectPr>
      </w:pPr>
    </w:p>
    <w:p w14:paraId="2ECB2254" w14:textId="77777777" w:rsidR="00867206" w:rsidRDefault="00000000">
      <w:pPr>
        <w:pStyle w:val="P68B1DB1-BodyText9"/>
        <w:ind w:left="1957"/>
      </w:pPr>
      <w:r>
        <w:rPr>
          <w:noProof/>
        </w:rPr>
        <w:lastRenderedPageBreak/>
        <w:drawing>
          <wp:inline distT="0" distB="0" distL="0" distR="0" wp14:anchorId="2ECB2337" wp14:editId="2ECB2338">
            <wp:extent cx="3975774" cy="45841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774" cy="458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2255" w14:textId="77777777" w:rsidR="00867206" w:rsidRDefault="00867206">
      <w:pPr>
        <w:pStyle w:val="Corpodetexto"/>
        <w:spacing w:before="7"/>
        <w:rPr>
          <w:i/>
          <w:sz w:val="7"/>
        </w:rPr>
      </w:pPr>
    </w:p>
    <w:p w14:paraId="2ECB2256" w14:textId="77777777" w:rsidR="00867206" w:rsidRDefault="00000000">
      <w:pPr>
        <w:pStyle w:val="P68B1DB1-Normal10"/>
        <w:spacing w:before="76" w:line="259" w:lineRule="auto"/>
        <w:ind w:left="1261" w:hanging="1036"/>
      </w:pPr>
      <w:r>
        <w:t xml:space="preserve">Figura 1. Vias envolvidas em náuseas e vômitos. 5-HT3, receptor de 5-hidroxitriptamina 3; D2, receptor de dopamina 2; H1, receptor de histamina 1;; mACh, receptor de acetilcolina muscarínico; Mu, receptor de </w:t>
      </w:r>
      <w:r>
        <w:rPr>
          <w:rFonts w:ascii="Times New Roman"/>
        </w:rPr>
        <w:t>l</w:t>
      </w:r>
      <w:r>
        <w:t>-opioide; NK1, receptor de neuroquinina tipo 1.</w:t>
      </w:r>
    </w:p>
    <w:p w14:paraId="2ECB2257" w14:textId="77777777" w:rsidR="00867206" w:rsidRDefault="00867206">
      <w:pPr>
        <w:pStyle w:val="Corpodetexto"/>
        <w:spacing w:before="5"/>
        <w:rPr>
          <w:sz w:val="17"/>
        </w:rPr>
      </w:pPr>
    </w:p>
    <w:p w14:paraId="2ECB2258" w14:textId="77777777" w:rsidR="00867206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74" w:line="259" w:lineRule="auto"/>
      </w:pPr>
      <w:r>
        <w:t>Zona de gatilho quimiorreceptora (CTZ): A CTZ está situada na área pós-rema da medula, que está fora da barreira hematoencefálica; portanto, é mais rápido responder a estímulos emetogênicos no sangue do que o centro de vômito. A CTZ também retransmite informações de várias outras fontes, como o aparelho vestibular.</w:t>
      </w:r>
    </w:p>
    <w:p w14:paraId="2ECB2259" w14:textId="77777777" w:rsidR="00867206" w:rsidRDefault="00000000">
      <w:pPr>
        <w:pStyle w:val="P68B1DB1-BodyText3"/>
        <w:spacing w:before="4"/>
        <w:ind w:left="271"/>
        <w:jc w:val="both"/>
      </w:pPr>
      <w:r>
        <w:t xml:space="preserve">Receptores: Dopamina 2 (D2), receptor 5-hidroxitriptamina 3 (5HT3), NK1 e receptores </w:t>
      </w:r>
      <w:r>
        <w:rPr>
          <w:rFonts w:ascii="Times New Roman"/>
        </w:rPr>
        <w:t>l</w:t>
      </w:r>
      <w:r>
        <w:t>-opioides (Mu)</w:t>
      </w:r>
    </w:p>
    <w:p w14:paraId="2ECB225A" w14:textId="77777777" w:rsidR="00867206" w:rsidRDefault="00000000">
      <w:pPr>
        <w:pStyle w:val="P68B1DB1-ListParagraph11"/>
        <w:numPr>
          <w:ilvl w:val="0"/>
          <w:numId w:val="3"/>
        </w:numPr>
        <w:tabs>
          <w:tab w:val="left" w:pos="304"/>
        </w:tabs>
        <w:spacing w:before="19" w:line="259" w:lineRule="auto"/>
        <w:ind w:left="303" w:hanging="192"/>
      </w:pPr>
      <w:r>
        <w:t>Trato gastrointestinal (GI): Em resposta à infecção, as células enterocromafins presentes no trato GI liberam serotonina (5HT); os mecanorreceptores e quimiorreceptores transmitem as informações para o centro de vômito através da ativação do receptor 5HT3 de aferentes vagais no trato GI.</w:t>
      </w:r>
    </w:p>
    <w:p w14:paraId="2ECB225B" w14:textId="77777777" w:rsidR="00867206" w:rsidRDefault="00000000">
      <w:pPr>
        <w:pStyle w:val="P68B1DB1-BodyText3"/>
        <w:spacing w:before="3"/>
        <w:ind w:left="271"/>
        <w:jc w:val="both"/>
      </w:pPr>
      <w:r>
        <w:t>Receptor: receptores 5HT3</w:t>
      </w:r>
    </w:p>
    <w:p w14:paraId="2ECB225C" w14:textId="77777777" w:rsidR="00867206" w:rsidRDefault="00000000">
      <w:pPr>
        <w:pStyle w:val="P68B1DB1-ListParagraph11"/>
        <w:numPr>
          <w:ilvl w:val="0"/>
          <w:numId w:val="3"/>
        </w:numPr>
        <w:tabs>
          <w:tab w:val="left" w:pos="304"/>
        </w:tabs>
        <w:spacing w:before="20" w:line="259" w:lineRule="auto"/>
        <w:ind w:left="303" w:hanging="192"/>
      </w:pPr>
      <w:r>
        <w:t>O aparelho vestibular, localizado perto do centro de vômito, envia informações sobre a posição e o movimento da cabeça diretamente para o centro de vômito ou através da CTZ.</w:t>
      </w:r>
    </w:p>
    <w:p w14:paraId="2ECB225D" w14:textId="77777777" w:rsidR="00867206" w:rsidRDefault="00000000">
      <w:pPr>
        <w:pStyle w:val="P68B1DB1-BodyText3"/>
        <w:spacing w:before="3"/>
        <w:ind w:left="271"/>
        <w:jc w:val="both"/>
      </w:pPr>
      <w:r>
        <w:t>Receptores: Histamina 1 (H1) e mACh</w:t>
      </w:r>
    </w:p>
    <w:p w14:paraId="2ECB225E" w14:textId="77777777" w:rsidR="00867206" w:rsidRDefault="00000000">
      <w:pPr>
        <w:pStyle w:val="P68B1DB1-ListParagraph11"/>
        <w:numPr>
          <w:ilvl w:val="0"/>
          <w:numId w:val="3"/>
        </w:numPr>
        <w:tabs>
          <w:tab w:val="left" w:pos="304"/>
        </w:tabs>
        <w:spacing w:before="19" w:line="259" w:lineRule="auto"/>
        <w:ind w:left="303" w:hanging="192"/>
      </w:pPr>
      <w:r>
        <w:t>Centros superiores corticais: Esta área medeia aspectos da dor, fatores psicológicos desagradáveis e cheiros e visões desagradáveis.</w:t>
      </w:r>
    </w:p>
    <w:p w14:paraId="2ECB225F" w14:textId="77777777" w:rsidR="00867206" w:rsidRDefault="00000000">
      <w:pPr>
        <w:pStyle w:val="P68B1DB1-ListParagraph11"/>
        <w:numPr>
          <w:ilvl w:val="0"/>
          <w:numId w:val="3"/>
        </w:numPr>
        <w:tabs>
          <w:tab w:val="left" w:pos="304"/>
        </w:tabs>
        <w:spacing w:before="4" w:line="259" w:lineRule="auto"/>
        <w:ind w:left="303" w:hanging="192"/>
      </w:pPr>
      <w:r>
        <w:t>O núcleo tractus solitarius encontra-se na medula próxima à CTZ. Atua como um centro de retransmissão, reunindo todos os aferentes viscerais (via nervos cranianos IX e X) e é responsável pela organização da via comum final do vômito.</w:t>
      </w:r>
    </w:p>
    <w:p w14:paraId="2ECB2260" w14:textId="77777777" w:rsidR="00867206" w:rsidRDefault="00000000">
      <w:pPr>
        <w:pStyle w:val="P68B1DB1-BodyText3"/>
        <w:spacing w:before="3"/>
        <w:ind w:left="271"/>
        <w:jc w:val="both"/>
      </w:pPr>
      <w:r>
        <w:t>Receptores: H1, NK1 e corticosteroide</w:t>
      </w:r>
    </w:p>
    <w:p w14:paraId="2ECB2261" w14:textId="77777777" w:rsidR="00867206" w:rsidRDefault="00867206">
      <w:pPr>
        <w:pStyle w:val="Corpodetexto"/>
      </w:pPr>
    </w:p>
    <w:p w14:paraId="2ECB2262" w14:textId="77777777" w:rsidR="00867206" w:rsidRDefault="00867206">
      <w:pPr>
        <w:pStyle w:val="Corpodetexto"/>
        <w:spacing w:before="5"/>
        <w:rPr>
          <w:sz w:val="24"/>
        </w:rPr>
      </w:pPr>
    </w:p>
    <w:p w14:paraId="2ECB2263" w14:textId="77777777" w:rsidR="00867206" w:rsidRDefault="00000000">
      <w:pPr>
        <w:pStyle w:val="P68B1DB1-Heading16"/>
        <w:jc w:val="both"/>
      </w:pPr>
      <w:r>
        <w:t>FATORES DE RISCO POV</w:t>
      </w:r>
    </w:p>
    <w:p w14:paraId="2ECB2264" w14:textId="77777777" w:rsidR="00867206" w:rsidRDefault="00000000">
      <w:pPr>
        <w:pStyle w:val="P68B1DB1-BodyText3"/>
        <w:spacing w:before="129" w:line="259" w:lineRule="auto"/>
        <w:ind w:left="111" w:right="110"/>
        <w:jc w:val="both"/>
      </w:pPr>
      <w:r>
        <w:t>Para conceber profilaxia e tratamento antieméticos adequados, é essencial estimar o risco da criança de desenvolver POV ou NVPO. Os fatores de risco na população pediátrica podem ser categorizados em pré, intra e pós-operatório</w:t>
      </w:r>
      <w:r>
        <w:rPr>
          <w:vertAlign w:val="superscript"/>
        </w:rPr>
        <w:t xml:space="preserve"> ,4</w:t>
      </w:r>
      <w:r>
        <w:t xml:space="preserve"> resumidos na Tabela 1.</w:t>
      </w:r>
    </w:p>
    <w:p w14:paraId="2ECB2265" w14:textId="77777777" w:rsidR="00867206" w:rsidRDefault="00867206">
      <w:pPr>
        <w:spacing w:line="259" w:lineRule="auto"/>
        <w:jc w:val="both"/>
        <w:sectPr w:rsidR="00867206">
          <w:pgSz w:w="12240" w:h="15840"/>
          <w:pgMar w:top="1060" w:right="1040" w:bottom="1160" w:left="1040" w:header="0" w:footer="962" w:gutter="0"/>
          <w:cols w:space="720"/>
        </w:sectPr>
      </w:pPr>
    </w:p>
    <w:p w14:paraId="2ECB2266" w14:textId="77777777" w:rsidR="00867206" w:rsidRDefault="00867206">
      <w:pPr>
        <w:pStyle w:val="Corpodetexto"/>
        <w:spacing w:before="1"/>
        <w:rPr>
          <w:sz w:val="2"/>
        </w:rPr>
      </w:pP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2430"/>
        <w:gridCol w:w="1685"/>
      </w:tblGrid>
      <w:tr w:rsidR="00867206" w14:paraId="2ECB226A" w14:textId="77777777">
        <w:trPr>
          <w:trHeight w:val="337"/>
        </w:trPr>
        <w:tc>
          <w:tcPr>
            <w:tcW w:w="3638" w:type="dxa"/>
            <w:shd w:val="clear" w:color="auto" w:fill="7DC04D"/>
          </w:tcPr>
          <w:p w14:paraId="2ECB2267" w14:textId="77777777" w:rsidR="00867206" w:rsidRDefault="00000000">
            <w:pPr>
              <w:pStyle w:val="P68B1DB1-TableParagraph12"/>
              <w:spacing w:before="69" w:line="240" w:lineRule="auto"/>
              <w:ind w:left="79"/>
            </w:pPr>
            <w:bookmarkStart w:id="0" w:name="t01"/>
            <w:bookmarkEnd w:id="0"/>
            <w:r>
              <w:t>Pré-operatório</w:t>
            </w:r>
          </w:p>
        </w:tc>
        <w:tc>
          <w:tcPr>
            <w:tcW w:w="2430" w:type="dxa"/>
            <w:shd w:val="clear" w:color="auto" w:fill="7DC04D"/>
          </w:tcPr>
          <w:p w14:paraId="2ECB2268" w14:textId="77777777" w:rsidR="00867206" w:rsidRDefault="00000000">
            <w:pPr>
              <w:pStyle w:val="P68B1DB1-TableParagraph12"/>
              <w:spacing w:before="69" w:line="240" w:lineRule="auto"/>
              <w:ind w:left="646"/>
            </w:pPr>
            <w:r>
              <w:t>Intra-operatório</w:t>
            </w:r>
          </w:p>
        </w:tc>
        <w:tc>
          <w:tcPr>
            <w:tcW w:w="1685" w:type="dxa"/>
            <w:shd w:val="clear" w:color="auto" w:fill="7DC04D"/>
          </w:tcPr>
          <w:p w14:paraId="2ECB2269" w14:textId="77777777" w:rsidR="00867206" w:rsidRDefault="00000000">
            <w:pPr>
              <w:pStyle w:val="P68B1DB1-TableParagraph12"/>
              <w:spacing w:before="69" w:line="240" w:lineRule="auto"/>
              <w:ind w:left="259" w:right="255"/>
              <w:jc w:val="center"/>
            </w:pPr>
            <w:r>
              <w:t>Pós-operatório</w:t>
            </w:r>
          </w:p>
        </w:tc>
      </w:tr>
      <w:tr w:rsidR="00867206" w14:paraId="2ECB226E" w14:textId="77777777">
        <w:trPr>
          <w:trHeight w:val="277"/>
        </w:trPr>
        <w:tc>
          <w:tcPr>
            <w:tcW w:w="3638" w:type="dxa"/>
            <w:tcBorders>
              <w:left w:val="single" w:sz="8" w:space="0" w:color="7DC04D"/>
            </w:tcBorders>
          </w:tcPr>
          <w:p w14:paraId="2ECB226B" w14:textId="77777777" w:rsidR="00867206" w:rsidRDefault="00000000">
            <w:pPr>
              <w:pStyle w:val="P68B1DB1-TableParagraph12"/>
              <w:spacing w:before="51" w:line="207" w:lineRule="exact"/>
              <w:ind w:left="69"/>
            </w:pPr>
            <w:r>
              <w:t>Idade 2:3 anos</w:t>
            </w:r>
          </w:p>
        </w:tc>
        <w:tc>
          <w:tcPr>
            <w:tcW w:w="2430" w:type="dxa"/>
          </w:tcPr>
          <w:p w14:paraId="2ECB226C" w14:textId="77777777" w:rsidR="00867206" w:rsidRDefault="00000000">
            <w:pPr>
              <w:pStyle w:val="P68B1DB1-TableParagraph12"/>
              <w:spacing w:before="51" w:line="207" w:lineRule="exact"/>
              <w:ind w:left="98"/>
            </w:pPr>
            <w:r>
              <w:t>Adenotonsilectomia</w:t>
            </w:r>
          </w:p>
        </w:tc>
        <w:tc>
          <w:tcPr>
            <w:tcW w:w="1685" w:type="dxa"/>
            <w:tcBorders>
              <w:right w:val="single" w:sz="8" w:space="0" w:color="7DC04D"/>
            </w:tcBorders>
          </w:tcPr>
          <w:p w14:paraId="2ECB226D" w14:textId="77777777" w:rsidR="00867206" w:rsidRDefault="00000000">
            <w:pPr>
              <w:pStyle w:val="P68B1DB1-TableParagraph12"/>
              <w:spacing w:before="51" w:line="207" w:lineRule="exact"/>
              <w:ind w:left="46" w:right="41"/>
              <w:jc w:val="center"/>
            </w:pPr>
            <w:r>
              <w:t>Opioides de ação prolongada</w:t>
            </w:r>
          </w:p>
        </w:tc>
      </w:tr>
      <w:tr w:rsidR="00867206" w14:paraId="2ECB2272" w14:textId="77777777">
        <w:trPr>
          <w:trHeight w:val="218"/>
        </w:trPr>
        <w:tc>
          <w:tcPr>
            <w:tcW w:w="3638" w:type="dxa"/>
            <w:tcBorders>
              <w:left w:val="single" w:sz="8" w:space="0" w:color="7DC04D"/>
            </w:tcBorders>
          </w:tcPr>
          <w:p w14:paraId="2ECB226F" w14:textId="77777777" w:rsidR="00867206" w:rsidRDefault="00000000">
            <w:pPr>
              <w:pStyle w:val="P68B1DB1-TableParagraph12"/>
              <w:ind w:left="69"/>
            </w:pPr>
            <w:r>
              <w:t>POV anterior ou NVPO ou enjôo</w:t>
            </w:r>
          </w:p>
        </w:tc>
        <w:tc>
          <w:tcPr>
            <w:tcW w:w="2430" w:type="dxa"/>
          </w:tcPr>
          <w:p w14:paraId="2ECB2270" w14:textId="77777777" w:rsidR="00867206" w:rsidRDefault="00000000">
            <w:pPr>
              <w:pStyle w:val="P68B1DB1-TableParagraph12"/>
              <w:ind w:left="97"/>
            </w:pPr>
            <w:r>
              <w:t>Cirurgia de estrabismo</w:t>
            </w:r>
          </w:p>
        </w:tc>
        <w:tc>
          <w:tcPr>
            <w:tcW w:w="1685" w:type="dxa"/>
            <w:tcBorders>
              <w:right w:val="single" w:sz="8" w:space="0" w:color="7DC04D"/>
            </w:tcBorders>
          </w:tcPr>
          <w:p w14:paraId="2ECB2271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67206" w14:paraId="2ECB2276" w14:textId="77777777">
        <w:trPr>
          <w:trHeight w:val="218"/>
        </w:trPr>
        <w:tc>
          <w:tcPr>
            <w:tcW w:w="3638" w:type="dxa"/>
            <w:tcBorders>
              <w:left w:val="single" w:sz="8" w:space="0" w:color="7DC04D"/>
            </w:tcBorders>
          </w:tcPr>
          <w:p w14:paraId="2ECB2273" w14:textId="77777777" w:rsidR="00867206" w:rsidRDefault="00000000">
            <w:pPr>
              <w:pStyle w:val="P68B1DB1-TableParagraph12"/>
              <w:ind w:left="69"/>
            </w:pPr>
            <w:r>
              <w:t>História familiar de POV ou PONV</w:t>
            </w:r>
          </w:p>
        </w:tc>
        <w:tc>
          <w:tcPr>
            <w:tcW w:w="2430" w:type="dxa"/>
          </w:tcPr>
          <w:p w14:paraId="2ECB2274" w14:textId="77777777" w:rsidR="00867206" w:rsidRDefault="00000000">
            <w:pPr>
              <w:pStyle w:val="P68B1DB1-TableParagraph12"/>
              <w:ind w:left="97"/>
            </w:pPr>
            <w:r>
              <w:t>Otoplastia</w:t>
            </w:r>
          </w:p>
        </w:tc>
        <w:tc>
          <w:tcPr>
            <w:tcW w:w="1685" w:type="dxa"/>
            <w:tcBorders>
              <w:right w:val="single" w:sz="8" w:space="0" w:color="7DC04D"/>
            </w:tcBorders>
          </w:tcPr>
          <w:p w14:paraId="2ECB2275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67206" w14:paraId="2ECB227A" w14:textId="77777777">
        <w:trPr>
          <w:trHeight w:val="219"/>
        </w:trPr>
        <w:tc>
          <w:tcPr>
            <w:tcW w:w="3638" w:type="dxa"/>
            <w:tcBorders>
              <w:left w:val="single" w:sz="8" w:space="0" w:color="7DC04D"/>
            </w:tcBorders>
          </w:tcPr>
          <w:p w14:paraId="2ECB2277" w14:textId="77777777" w:rsidR="00867206" w:rsidRDefault="00000000">
            <w:pPr>
              <w:pStyle w:val="P68B1DB1-TableParagraph12"/>
              <w:ind w:left="69"/>
            </w:pPr>
            <w:r>
              <w:t>Meninas pós-púberes</w:t>
            </w:r>
          </w:p>
        </w:tc>
        <w:tc>
          <w:tcPr>
            <w:tcW w:w="2430" w:type="dxa"/>
          </w:tcPr>
          <w:p w14:paraId="2ECB2278" w14:textId="77777777" w:rsidR="00867206" w:rsidRDefault="00000000">
            <w:pPr>
              <w:pStyle w:val="P68B1DB1-TableParagraph12"/>
              <w:ind w:left="98"/>
            </w:pPr>
            <w:r>
              <w:t>Duração da cirurgia 2:30 min</w:t>
            </w:r>
          </w:p>
        </w:tc>
        <w:tc>
          <w:tcPr>
            <w:tcW w:w="1685" w:type="dxa"/>
            <w:tcBorders>
              <w:right w:val="single" w:sz="8" w:space="0" w:color="7DC04D"/>
            </w:tcBorders>
          </w:tcPr>
          <w:p w14:paraId="2ECB2279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67206" w14:paraId="2ECB227E" w14:textId="77777777">
        <w:trPr>
          <w:trHeight w:val="219"/>
        </w:trPr>
        <w:tc>
          <w:tcPr>
            <w:tcW w:w="3638" w:type="dxa"/>
            <w:tcBorders>
              <w:left w:val="single" w:sz="8" w:space="0" w:color="7DC04D"/>
            </w:tcBorders>
          </w:tcPr>
          <w:p w14:paraId="2ECB227B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2ECB227C" w14:textId="77777777" w:rsidR="00867206" w:rsidRDefault="00000000">
            <w:pPr>
              <w:pStyle w:val="P68B1DB1-TableParagraph12"/>
              <w:ind w:left="98"/>
            </w:pPr>
            <w:r>
              <w:t>Agentes anestésicos voláteis</w:t>
            </w:r>
          </w:p>
        </w:tc>
        <w:tc>
          <w:tcPr>
            <w:tcW w:w="1685" w:type="dxa"/>
            <w:tcBorders>
              <w:right w:val="single" w:sz="8" w:space="0" w:color="7DC04D"/>
            </w:tcBorders>
          </w:tcPr>
          <w:p w14:paraId="2ECB227D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67206" w14:paraId="2ECB2282" w14:textId="77777777">
        <w:trPr>
          <w:trHeight w:val="218"/>
        </w:trPr>
        <w:tc>
          <w:tcPr>
            <w:tcW w:w="3638" w:type="dxa"/>
            <w:tcBorders>
              <w:left w:val="single" w:sz="8" w:space="0" w:color="7DC04D"/>
            </w:tcBorders>
          </w:tcPr>
          <w:p w14:paraId="2ECB227F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430" w:type="dxa"/>
          </w:tcPr>
          <w:p w14:paraId="2ECB2280" w14:textId="77777777" w:rsidR="00867206" w:rsidRDefault="00000000">
            <w:pPr>
              <w:pStyle w:val="P68B1DB1-TableParagraph12"/>
              <w:ind w:left="98"/>
            </w:pPr>
            <w:r>
              <w:t>Agentes Anticolinesterase</w:t>
            </w:r>
          </w:p>
        </w:tc>
        <w:tc>
          <w:tcPr>
            <w:tcW w:w="1685" w:type="dxa"/>
            <w:tcBorders>
              <w:right w:val="single" w:sz="8" w:space="0" w:color="7DC04D"/>
            </w:tcBorders>
          </w:tcPr>
          <w:p w14:paraId="2ECB2281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867206" w14:paraId="2ECB2286" w14:textId="77777777">
        <w:trPr>
          <w:trHeight w:val="255"/>
        </w:trPr>
        <w:tc>
          <w:tcPr>
            <w:tcW w:w="3638" w:type="dxa"/>
            <w:tcBorders>
              <w:left w:val="single" w:sz="8" w:space="0" w:color="7DC04D"/>
              <w:bottom w:val="single" w:sz="12" w:space="0" w:color="7DC04D"/>
            </w:tcBorders>
          </w:tcPr>
          <w:p w14:paraId="2ECB2283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430" w:type="dxa"/>
            <w:tcBorders>
              <w:bottom w:val="single" w:sz="12" w:space="0" w:color="7DC04D"/>
            </w:tcBorders>
          </w:tcPr>
          <w:p w14:paraId="2ECB2284" w14:textId="77777777" w:rsidR="00867206" w:rsidRDefault="00000000">
            <w:pPr>
              <w:pStyle w:val="P68B1DB1-TableParagraph12"/>
              <w:ind w:left="98"/>
            </w:pPr>
            <w:r>
              <w:t>Opioides de ação prolongada</w:t>
            </w:r>
          </w:p>
        </w:tc>
        <w:tc>
          <w:tcPr>
            <w:tcW w:w="1685" w:type="dxa"/>
            <w:tcBorders>
              <w:bottom w:val="single" w:sz="12" w:space="0" w:color="7DC04D"/>
              <w:right w:val="single" w:sz="8" w:space="0" w:color="7DC04D"/>
            </w:tcBorders>
          </w:tcPr>
          <w:p w14:paraId="2ECB2285" w14:textId="77777777" w:rsidR="00867206" w:rsidRDefault="0086720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2ECB2287" w14:textId="77777777" w:rsidR="00867206" w:rsidRPr="00C04269" w:rsidRDefault="00000000">
      <w:pPr>
        <w:pStyle w:val="P68B1DB1-BodyText3"/>
        <w:spacing w:before="82" w:line="254" w:lineRule="auto"/>
        <w:ind w:left="1298" w:right="1297"/>
        <w:jc w:val="center"/>
        <w:rPr>
          <w:sz w:val="16"/>
          <w:szCs w:val="16"/>
        </w:rPr>
      </w:pPr>
      <w:r w:rsidRPr="00C04269">
        <w:rPr>
          <w:sz w:val="16"/>
          <w:szCs w:val="16"/>
        </w:rPr>
        <w:t>Tabela 1. Fatores de risco para NVPO ou NVPO na população pediátrica.</w:t>
      </w:r>
      <w:r w:rsidRPr="00C04269">
        <w:rPr>
          <w:sz w:val="16"/>
          <w:szCs w:val="16"/>
          <w:vertAlign w:val="superscript"/>
        </w:rPr>
        <w:t>4,5</w:t>
      </w:r>
      <w:r w:rsidRPr="00C04269">
        <w:rPr>
          <w:sz w:val="16"/>
          <w:szCs w:val="16"/>
        </w:rPr>
        <w:t xml:space="preserve"> POV indica vômitos pós-operatórios; NVPO, náuseas e vômitos pós-operatórios. *Não incorporado como fator de risco de acordo com as diretrizes</w:t>
      </w:r>
      <w:r w:rsidRPr="00C04269">
        <w:rPr>
          <w:sz w:val="16"/>
          <w:szCs w:val="16"/>
          <w:vertAlign w:val="superscript"/>
        </w:rPr>
        <w:t>5</w:t>
      </w:r>
      <w:r w:rsidRPr="00C04269">
        <w:rPr>
          <w:sz w:val="16"/>
          <w:szCs w:val="16"/>
        </w:rPr>
        <w:t xml:space="preserve"> citadas na Figura </w:t>
      </w:r>
      <w:proofErr w:type="gramStart"/>
      <w:r w:rsidRPr="00C04269">
        <w:rPr>
          <w:sz w:val="16"/>
          <w:szCs w:val="16"/>
        </w:rPr>
        <w:t>4 .</w:t>
      </w:r>
      <w:proofErr w:type="gramEnd"/>
    </w:p>
    <w:p w14:paraId="2ECB2288" w14:textId="77777777" w:rsidR="00867206" w:rsidRDefault="00867206">
      <w:pPr>
        <w:pStyle w:val="Corpodetexto"/>
        <w:spacing w:before="6"/>
        <w:rPr>
          <w:sz w:val="16"/>
        </w:rPr>
      </w:pPr>
    </w:p>
    <w:p w14:paraId="2ECB2289" w14:textId="77777777" w:rsidR="00867206" w:rsidRDefault="00000000">
      <w:pPr>
        <w:pStyle w:val="P68B1DB1-Heading213"/>
        <w:spacing w:before="64"/>
      </w:pPr>
      <w:r>
        <w:t>Fatores pré-operatórios</w:t>
      </w:r>
    </w:p>
    <w:p w14:paraId="2ECB228A" w14:textId="77777777" w:rsidR="00867206" w:rsidRDefault="00867206">
      <w:pPr>
        <w:pStyle w:val="Corpodetexto"/>
        <w:spacing w:before="6"/>
        <w:rPr>
          <w:sz w:val="31"/>
        </w:rPr>
      </w:pPr>
    </w:p>
    <w:p w14:paraId="2ECB228B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ind w:right="0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Idade: O risco de POV aumenta em indivíduos com idade de 2:3 anos e continua a aumentar com o aumento da idade.</w:t>
      </w:r>
      <w:r w:rsidRPr="00C04269">
        <w:rPr>
          <w:sz w:val="16"/>
          <w:szCs w:val="16"/>
          <w:vertAlign w:val="superscript"/>
        </w:rPr>
        <w:t>5</w:t>
      </w:r>
    </w:p>
    <w:p w14:paraId="2ECB228C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25" w:line="264" w:lineRule="auto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Sexo: Meninas em idade pós-puberal correm um risco maior em comparação com seus colegas do sexo masculino; isso é hipotetizado como estando relacionado ao aumento da produção de hormônios sexuais.</w:t>
      </w:r>
      <w:r w:rsidRPr="00C04269">
        <w:rPr>
          <w:sz w:val="16"/>
          <w:szCs w:val="16"/>
          <w:vertAlign w:val="superscript"/>
        </w:rPr>
        <w:t>5</w:t>
      </w:r>
    </w:p>
    <w:p w14:paraId="2ECB228D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2" w:line="264" w:lineRule="auto"/>
        <w:jc w:val="left"/>
        <w:rPr>
          <w:sz w:val="16"/>
          <w:szCs w:val="16"/>
        </w:rPr>
      </w:pPr>
      <w:r w:rsidRPr="00C04269">
        <w:rPr>
          <w:sz w:val="16"/>
          <w:szCs w:val="16"/>
        </w:rPr>
        <w:t xml:space="preserve">História de POV, NVPO ou enjôo: A história anterior e familiar de POV ou NVPO são considerados fatores de risco independentes, e o enjôo prévio é um fator de risco específico em adultos e crianças. </w:t>
      </w:r>
      <w:r w:rsidRPr="00C04269">
        <w:rPr>
          <w:sz w:val="16"/>
          <w:szCs w:val="16"/>
          <w:vertAlign w:val="superscript"/>
        </w:rPr>
        <w:t>5</w:t>
      </w:r>
    </w:p>
    <w:p w14:paraId="2ECB228E" w14:textId="77777777" w:rsidR="00867206" w:rsidRDefault="00867206">
      <w:pPr>
        <w:pStyle w:val="Corpodetexto"/>
        <w:spacing w:before="4"/>
        <w:rPr>
          <w:sz w:val="21"/>
        </w:rPr>
      </w:pPr>
    </w:p>
    <w:p w14:paraId="2ECB228F" w14:textId="77777777" w:rsidR="00867206" w:rsidRDefault="00000000">
      <w:pPr>
        <w:pStyle w:val="P68B1DB1-Heading213"/>
        <w:spacing w:before="1"/>
      </w:pPr>
      <w:r>
        <w:t>Fatores intraoperatórios</w:t>
      </w:r>
    </w:p>
    <w:p w14:paraId="2ECB2290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135" w:line="264" w:lineRule="auto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Tipo de cirurgia: As crianças submetidas a adenotonsilectomia, cirurgia de estrabismo ou otoplastia estão em maior risco de POV ou NVPO.</w:t>
      </w:r>
      <w:r w:rsidRPr="00C04269">
        <w:rPr>
          <w:sz w:val="16"/>
          <w:szCs w:val="16"/>
          <w:vertAlign w:val="superscript"/>
        </w:rPr>
        <w:t>5</w:t>
      </w:r>
    </w:p>
    <w:p w14:paraId="2ECB2291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4" w:line="264" w:lineRule="auto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Agentes anestésicos voláteis: o uso de anestesia intravenosa total e, assim, evitar voláteis para manutenção demonstrou reduzir significativamente o risco.</w:t>
      </w:r>
      <w:r w:rsidRPr="00C04269">
        <w:rPr>
          <w:sz w:val="16"/>
          <w:szCs w:val="16"/>
          <w:vertAlign w:val="superscript"/>
        </w:rPr>
        <w:t>4,5</w:t>
      </w:r>
      <w:r w:rsidRPr="00C04269">
        <w:rPr>
          <w:sz w:val="16"/>
          <w:szCs w:val="16"/>
        </w:rPr>
        <w:t xml:space="preserve"> Ainda não existe um consenso claro sobre se o óxido nitroso é um fator de risco.</w:t>
      </w:r>
      <w:r w:rsidRPr="00C04269">
        <w:rPr>
          <w:sz w:val="16"/>
          <w:szCs w:val="16"/>
          <w:vertAlign w:val="superscript"/>
        </w:rPr>
        <w:t>4,5</w:t>
      </w:r>
    </w:p>
    <w:p w14:paraId="2ECB2292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2" w:line="264" w:lineRule="auto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Duração da cirurgia 2:30 minutos: operações mais longas requerem uma duração mais longa da anestesia. Com agentes voláteis, este é um fator de risco estabelecido para vômitos em adultos e crianças.</w:t>
      </w:r>
      <w:r w:rsidRPr="00C04269">
        <w:rPr>
          <w:sz w:val="16"/>
          <w:szCs w:val="16"/>
          <w:vertAlign w:val="superscript"/>
        </w:rPr>
        <w:t>4</w:t>
      </w:r>
    </w:p>
    <w:p w14:paraId="2ECB2293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4"/>
        <w:ind w:right="0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Uso de anticolinesterases: as diretrizes do Reino Unido aconselham evitar o uso de neostigmina em crianças com alto risco de vômito.</w:t>
      </w:r>
      <w:r w:rsidRPr="00C04269">
        <w:rPr>
          <w:sz w:val="16"/>
          <w:szCs w:val="16"/>
          <w:vertAlign w:val="superscript"/>
        </w:rPr>
        <w:t>5</w:t>
      </w:r>
    </w:p>
    <w:p w14:paraId="2ECB2294" w14:textId="77777777" w:rsidR="00867206" w:rsidRPr="00C04269" w:rsidRDefault="00000000">
      <w:pPr>
        <w:pStyle w:val="P68B1DB1-ListParagraph11"/>
        <w:numPr>
          <w:ilvl w:val="0"/>
          <w:numId w:val="3"/>
        </w:numPr>
        <w:tabs>
          <w:tab w:val="left" w:pos="272"/>
        </w:tabs>
        <w:spacing w:before="25" w:line="264" w:lineRule="auto"/>
        <w:ind w:right="112"/>
        <w:jc w:val="left"/>
        <w:rPr>
          <w:sz w:val="16"/>
          <w:szCs w:val="16"/>
        </w:rPr>
      </w:pPr>
      <w:r w:rsidRPr="00C04269">
        <w:rPr>
          <w:sz w:val="16"/>
          <w:szCs w:val="16"/>
        </w:rPr>
        <w:t>Opioides de ação prolongada: a administração intraoperatória de opioides de ação prolongada pode aumentar o POV em comparação com opioides de ação curta.</w:t>
      </w:r>
      <w:r w:rsidRPr="00C04269">
        <w:rPr>
          <w:sz w:val="16"/>
          <w:szCs w:val="16"/>
          <w:vertAlign w:val="superscript"/>
        </w:rPr>
        <w:t>6</w:t>
      </w:r>
      <w:r w:rsidRPr="00C04269">
        <w:rPr>
          <w:sz w:val="16"/>
          <w:szCs w:val="16"/>
        </w:rPr>
        <w:t xml:space="preserve"> </w:t>
      </w:r>
    </w:p>
    <w:p w14:paraId="2ECB2295" w14:textId="77777777" w:rsidR="00867206" w:rsidRDefault="00867206">
      <w:pPr>
        <w:pStyle w:val="Corpodetexto"/>
        <w:spacing w:before="4"/>
        <w:rPr>
          <w:sz w:val="21"/>
        </w:rPr>
      </w:pPr>
    </w:p>
    <w:p w14:paraId="2ECB2296" w14:textId="77777777" w:rsidR="00867206" w:rsidRDefault="00000000">
      <w:pPr>
        <w:pStyle w:val="P68B1DB1-Heading213"/>
      </w:pPr>
      <w:r>
        <w:t xml:space="preserve">Fatores pós-operatórios </w:t>
      </w:r>
    </w:p>
    <w:p w14:paraId="2ECB2297" w14:textId="77777777" w:rsidR="00867206" w:rsidRPr="00C04269" w:rsidRDefault="00000000">
      <w:pPr>
        <w:pStyle w:val="P68B1DB1-BodyText3"/>
        <w:spacing w:before="135" w:line="264" w:lineRule="auto"/>
        <w:ind w:left="112" w:right="110"/>
        <w:jc w:val="both"/>
        <w:rPr>
          <w:sz w:val="16"/>
          <w:szCs w:val="16"/>
        </w:rPr>
      </w:pPr>
      <w:r w:rsidRPr="00C04269">
        <w:rPr>
          <w:sz w:val="16"/>
          <w:szCs w:val="16"/>
        </w:rPr>
        <w:t>Uso de opioides de ação prolongada: O uso de opioides de ação prolongada na enfermaria pós-operatória demonstrou aumentar a incidência de vômitos; portanto, técnicas poupadoras de opioides são recomendadas, especialmente para pacientes de alto risco.</w:t>
      </w:r>
      <w:r w:rsidRPr="00C04269">
        <w:rPr>
          <w:sz w:val="16"/>
          <w:szCs w:val="16"/>
          <w:vertAlign w:val="superscript"/>
        </w:rPr>
        <w:t>4</w:t>
      </w:r>
    </w:p>
    <w:p w14:paraId="2ECB2298" w14:textId="77777777" w:rsidR="00867206" w:rsidRDefault="00867206">
      <w:pPr>
        <w:pStyle w:val="Corpodetexto"/>
        <w:spacing w:before="4"/>
        <w:rPr>
          <w:sz w:val="21"/>
        </w:rPr>
      </w:pPr>
    </w:p>
    <w:p w14:paraId="2ECB2299" w14:textId="77777777" w:rsidR="00867206" w:rsidRDefault="00000000">
      <w:pPr>
        <w:pStyle w:val="P68B1DB1-Heading213"/>
      </w:pPr>
      <w:r>
        <w:t>Estratificação do Risco</w:t>
      </w:r>
    </w:p>
    <w:p w14:paraId="2ECB229A" w14:textId="77777777" w:rsidR="00867206" w:rsidRPr="00C04269" w:rsidRDefault="00000000">
      <w:pPr>
        <w:pStyle w:val="P68B1DB1-BodyText3"/>
        <w:spacing w:before="136" w:line="264" w:lineRule="auto"/>
        <w:ind w:left="111" w:right="105"/>
        <w:jc w:val="both"/>
        <w:rPr>
          <w:sz w:val="16"/>
          <w:szCs w:val="16"/>
        </w:rPr>
      </w:pPr>
      <w:r w:rsidRPr="00C04269">
        <w:rPr>
          <w:sz w:val="16"/>
          <w:szCs w:val="16"/>
        </w:rPr>
        <w:t xml:space="preserve">O escore de risco simplificado para POV em crianças (escore POVOC) de Eberhart et al7 demonstra como o acúmulo de fatores de risco está associado a um aumento na incidência de POV. Esse escore de risco incorpora duração da cirurgia 2:30 minutos, idade 2:3 anos, cirurgia de estrabismo e história prévia ou familiar de POV (Tabela 2). Quando 0, 1, 2, 3 ou 4 dos preditores independentes representados estão presentes, o risco correspondente para NVPO é citado como aproximadamente 9%, 10%, 30%, 55% ou 70%, respectivamente (Figura 2). Métodos alternativos de estratificação de risco foram incorporados nas diretrizes nacionais de profilaxia pov </w:t>
      </w:r>
      <w:r w:rsidRPr="00C04269">
        <w:rPr>
          <w:sz w:val="16"/>
          <w:szCs w:val="16"/>
          <w:vertAlign w:val="superscript"/>
        </w:rPr>
        <w:t>4,5</w:t>
      </w:r>
      <w:r w:rsidRPr="00C04269">
        <w:rPr>
          <w:sz w:val="16"/>
          <w:szCs w:val="16"/>
        </w:rPr>
        <w:t xml:space="preserve"> e estão resumidos (juntamente com as recomendações de profilaxia, que serão discutidas mais adiante) nas Figuras 3 e 4.</w:t>
      </w:r>
    </w:p>
    <w:p w14:paraId="2ECB229B" w14:textId="77777777" w:rsidR="00867206" w:rsidRDefault="00867206">
      <w:pPr>
        <w:pStyle w:val="Corpodetexto"/>
        <w:spacing w:before="11"/>
        <w:rPr>
          <w:sz w:val="24"/>
        </w:rPr>
      </w:pPr>
    </w:p>
    <w:tbl>
      <w:tblPr>
        <w:tblW w:w="0" w:type="auto"/>
        <w:tblInd w:w="1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5"/>
        <w:gridCol w:w="1647"/>
      </w:tblGrid>
      <w:tr w:rsidR="00867206" w:rsidRPr="00C04269" w14:paraId="2ECB229E" w14:textId="77777777">
        <w:trPr>
          <w:trHeight w:val="339"/>
        </w:trPr>
        <w:tc>
          <w:tcPr>
            <w:tcW w:w="6105" w:type="dxa"/>
            <w:shd w:val="clear" w:color="auto" w:fill="7DC04D"/>
          </w:tcPr>
          <w:p w14:paraId="2ECB229C" w14:textId="77777777" w:rsidR="00867206" w:rsidRPr="00C04269" w:rsidRDefault="00000000">
            <w:pPr>
              <w:pStyle w:val="P68B1DB1-TableParagraph12"/>
              <w:spacing w:before="70" w:line="240" w:lineRule="auto"/>
              <w:ind w:left="79"/>
              <w:rPr>
                <w:sz w:val="16"/>
                <w:szCs w:val="16"/>
              </w:rPr>
            </w:pPr>
            <w:bookmarkStart w:id="1" w:name="t02"/>
            <w:bookmarkEnd w:id="1"/>
            <w:r w:rsidRPr="00C04269">
              <w:rPr>
                <w:sz w:val="16"/>
                <w:szCs w:val="16"/>
              </w:rPr>
              <w:t>Fator de Risco</w:t>
            </w:r>
          </w:p>
        </w:tc>
        <w:tc>
          <w:tcPr>
            <w:tcW w:w="1647" w:type="dxa"/>
            <w:shd w:val="clear" w:color="auto" w:fill="7DC04D"/>
          </w:tcPr>
          <w:p w14:paraId="2ECB229D" w14:textId="77777777" w:rsidR="00867206" w:rsidRPr="00C04269" w:rsidRDefault="00000000">
            <w:pPr>
              <w:pStyle w:val="P68B1DB1-TableParagraph12"/>
              <w:spacing w:before="70" w:line="240" w:lineRule="auto"/>
              <w:ind w:left="108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Pontuação</w:t>
            </w:r>
          </w:p>
        </w:tc>
      </w:tr>
      <w:tr w:rsidR="00867206" w:rsidRPr="00C04269" w14:paraId="2ECB22A1" w14:textId="77777777">
        <w:trPr>
          <w:trHeight w:val="276"/>
        </w:trPr>
        <w:tc>
          <w:tcPr>
            <w:tcW w:w="6105" w:type="dxa"/>
            <w:tcBorders>
              <w:left w:val="single" w:sz="8" w:space="0" w:color="7DC04D"/>
            </w:tcBorders>
          </w:tcPr>
          <w:p w14:paraId="2ECB229F" w14:textId="77777777" w:rsidR="00867206" w:rsidRPr="00C04269" w:rsidRDefault="00000000">
            <w:pPr>
              <w:pStyle w:val="P68B1DB1-TableParagraph12"/>
              <w:spacing w:before="50" w:line="207" w:lineRule="exact"/>
              <w:ind w:left="6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Duração da cirurgia 2:30 min</w:t>
            </w:r>
          </w:p>
        </w:tc>
        <w:tc>
          <w:tcPr>
            <w:tcW w:w="1647" w:type="dxa"/>
            <w:tcBorders>
              <w:right w:val="single" w:sz="8" w:space="0" w:color="7DC04D"/>
            </w:tcBorders>
          </w:tcPr>
          <w:p w14:paraId="2ECB22A0" w14:textId="77777777" w:rsidR="00867206" w:rsidRPr="00C04269" w:rsidRDefault="00000000">
            <w:pPr>
              <w:pStyle w:val="P68B1DB1-TableParagraph12"/>
              <w:spacing w:before="50" w:line="207" w:lineRule="exact"/>
              <w:ind w:left="107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1</w:t>
            </w:r>
          </w:p>
        </w:tc>
      </w:tr>
      <w:tr w:rsidR="00867206" w:rsidRPr="00C04269" w14:paraId="2ECB22A4" w14:textId="77777777">
        <w:trPr>
          <w:trHeight w:val="219"/>
        </w:trPr>
        <w:tc>
          <w:tcPr>
            <w:tcW w:w="6105" w:type="dxa"/>
            <w:tcBorders>
              <w:left w:val="single" w:sz="8" w:space="0" w:color="7DC04D"/>
            </w:tcBorders>
          </w:tcPr>
          <w:p w14:paraId="2ECB22A2" w14:textId="77777777" w:rsidR="00867206" w:rsidRPr="00C04269" w:rsidRDefault="00000000">
            <w:pPr>
              <w:pStyle w:val="P68B1DB1-TableParagraph12"/>
              <w:ind w:left="6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 xml:space="preserve">Idade da criança 2:3 anos </w:t>
            </w:r>
          </w:p>
        </w:tc>
        <w:tc>
          <w:tcPr>
            <w:tcW w:w="1647" w:type="dxa"/>
            <w:tcBorders>
              <w:right w:val="single" w:sz="8" w:space="0" w:color="7DC04D"/>
            </w:tcBorders>
          </w:tcPr>
          <w:p w14:paraId="2ECB22A3" w14:textId="77777777" w:rsidR="00867206" w:rsidRPr="00C04269" w:rsidRDefault="00000000">
            <w:pPr>
              <w:pStyle w:val="P68B1DB1-TableParagraph12"/>
              <w:ind w:left="107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1</w:t>
            </w:r>
          </w:p>
        </w:tc>
      </w:tr>
      <w:tr w:rsidR="00867206" w:rsidRPr="00C04269" w14:paraId="2ECB22A7" w14:textId="77777777">
        <w:trPr>
          <w:trHeight w:val="219"/>
        </w:trPr>
        <w:tc>
          <w:tcPr>
            <w:tcW w:w="6105" w:type="dxa"/>
            <w:tcBorders>
              <w:left w:val="single" w:sz="8" w:space="0" w:color="7DC04D"/>
            </w:tcBorders>
          </w:tcPr>
          <w:p w14:paraId="2ECB22A5" w14:textId="77777777" w:rsidR="00867206" w:rsidRPr="00C04269" w:rsidRDefault="00000000">
            <w:pPr>
              <w:pStyle w:val="P68B1DB1-TableParagraph12"/>
              <w:ind w:left="6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Cirurgia de estrabismo</w:t>
            </w:r>
          </w:p>
        </w:tc>
        <w:tc>
          <w:tcPr>
            <w:tcW w:w="1647" w:type="dxa"/>
            <w:tcBorders>
              <w:right w:val="single" w:sz="8" w:space="0" w:color="7DC04D"/>
            </w:tcBorders>
          </w:tcPr>
          <w:p w14:paraId="2ECB22A6" w14:textId="77777777" w:rsidR="00867206" w:rsidRPr="00C04269" w:rsidRDefault="00000000">
            <w:pPr>
              <w:pStyle w:val="P68B1DB1-TableParagraph12"/>
              <w:ind w:left="107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1</w:t>
            </w:r>
          </w:p>
        </w:tc>
      </w:tr>
      <w:tr w:rsidR="00867206" w:rsidRPr="00C04269" w14:paraId="2ECB22AA" w14:textId="77777777">
        <w:trPr>
          <w:trHeight w:val="218"/>
        </w:trPr>
        <w:tc>
          <w:tcPr>
            <w:tcW w:w="6105" w:type="dxa"/>
            <w:tcBorders>
              <w:left w:val="single" w:sz="8" w:space="0" w:color="7DC04D"/>
            </w:tcBorders>
          </w:tcPr>
          <w:p w14:paraId="2ECB22A8" w14:textId="77777777" w:rsidR="00867206" w:rsidRPr="00C04269" w:rsidRDefault="00000000">
            <w:pPr>
              <w:pStyle w:val="P68B1DB1-TableParagraph12"/>
              <w:ind w:left="6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História ou história familiar de náuseas e vômitos pós-operatórios</w:t>
            </w:r>
          </w:p>
        </w:tc>
        <w:tc>
          <w:tcPr>
            <w:tcW w:w="1647" w:type="dxa"/>
            <w:tcBorders>
              <w:right w:val="single" w:sz="8" w:space="0" w:color="7DC04D"/>
            </w:tcBorders>
          </w:tcPr>
          <w:p w14:paraId="2ECB22A9" w14:textId="77777777" w:rsidR="00867206" w:rsidRPr="00C04269" w:rsidRDefault="00000000">
            <w:pPr>
              <w:pStyle w:val="P68B1DB1-TableParagraph12"/>
              <w:ind w:left="107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1</w:t>
            </w:r>
          </w:p>
        </w:tc>
      </w:tr>
      <w:tr w:rsidR="00867206" w:rsidRPr="00C04269" w14:paraId="2ECB22AD" w14:textId="77777777">
        <w:trPr>
          <w:trHeight w:val="255"/>
        </w:trPr>
        <w:tc>
          <w:tcPr>
            <w:tcW w:w="6105" w:type="dxa"/>
            <w:tcBorders>
              <w:left w:val="single" w:sz="8" w:space="0" w:color="7DC04D"/>
              <w:bottom w:val="single" w:sz="12" w:space="0" w:color="7DC04D"/>
            </w:tcBorders>
          </w:tcPr>
          <w:p w14:paraId="2ECB22AB" w14:textId="77777777" w:rsidR="00867206" w:rsidRPr="00C04269" w:rsidRDefault="00000000">
            <w:pPr>
              <w:pStyle w:val="P68B1DB1-TableParagraph12"/>
              <w:ind w:left="6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Total de pontos</w:t>
            </w:r>
          </w:p>
        </w:tc>
        <w:tc>
          <w:tcPr>
            <w:tcW w:w="1647" w:type="dxa"/>
            <w:tcBorders>
              <w:bottom w:val="single" w:sz="12" w:space="0" w:color="7DC04D"/>
              <w:right w:val="single" w:sz="8" w:space="0" w:color="7DC04D"/>
            </w:tcBorders>
          </w:tcPr>
          <w:p w14:paraId="2ECB22AC" w14:textId="77777777" w:rsidR="00867206" w:rsidRPr="00C04269" w:rsidRDefault="00000000">
            <w:pPr>
              <w:pStyle w:val="P68B1DB1-TableParagraph12"/>
              <w:ind w:left="1079"/>
              <w:rPr>
                <w:sz w:val="16"/>
                <w:szCs w:val="16"/>
              </w:rPr>
            </w:pPr>
            <w:r w:rsidRPr="00C04269">
              <w:rPr>
                <w:sz w:val="16"/>
                <w:szCs w:val="16"/>
              </w:rPr>
              <w:t>0 a 4</w:t>
            </w:r>
          </w:p>
        </w:tc>
      </w:tr>
    </w:tbl>
    <w:p w14:paraId="2ECB22AE" w14:textId="77777777" w:rsidR="00867206" w:rsidRPr="00C04269" w:rsidRDefault="00000000">
      <w:pPr>
        <w:pStyle w:val="P68B1DB1-BodyText3"/>
        <w:spacing w:before="79" w:line="254" w:lineRule="auto"/>
        <w:ind w:left="4496" w:right="565" w:hanging="3302"/>
        <w:rPr>
          <w:sz w:val="16"/>
          <w:szCs w:val="16"/>
        </w:rPr>
      </w:pPr>
      <w:r w:rsidRPr="00C04269">
        <w:rPr>
          <w:sz w:val="16"/>
          <w:szCs w:val="16"/>
        </w:rPr>
        <w:t>Tabela 2. Sistema Simplificado de Pontuação de Risco para Vômitos Pós-operatórios em Crianças (Pontuação POVOC) de Eberhart et al7</w:t>
      </w:r>
    </w:p>
    <w:p w14:paraId="2ECB22AF" w14:textId="77777777" w:rsidR="00867206" w:rsidRDefault="00867206">
      <w:pPr>
        <w:spacing w:line="254" w:lineRule="auto"/>
        <w:sectPr w:rsidR="00867206">
          <w:pgSz w:w="12240" w:h="15840"/>
          <w:pgMar w:top="1020" w:right="1040" w:bottom="1160" w:left="1040" w:header="0" w:footer="962" w:gutter="0"/>
          <w:cols w:space="720"/>
        </w:sectPr>
      </w:pPr>
    </w:p>
    <w:p w14:paraId="2ECB22B0" w14:textId="77777777" w:rsidR="00867206" w:rsidRDefault="00000000">
      <w:pPr>
        <w:pStyle w:val="P68B1DB1-Normal14"/>
        <w:tabs>
          <w:tab w:val="left" w:pos="785"/>
        </w:tabs>
        <w:ind w:left="121"/>
      </w:pPr>
      <w:r>
        <w:rPr>
          <w:noProof/>
          <w:position w:val="175"/>
        </w:rPr>
        <w:lastRenderedPageBreak/>
        <w:drawing>
          <wp:inline distT="0" distB="0" distL="0" distR="0" wp14:anchorId="2ECB2339" wp14:editId="2ECB233A">
            <wp:extent cx="90451" cy="9382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51" cy="93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5"/>
        </w:rPr>
        <w:tab/>
      </w:r>
      <w:r>
        <w:pict w14:anchorId="2ECB233B">
          <v:group id="docshapegroup14" o:spid="_x0000_s2139" alt="" style="width:462.4pt;height:270.1pt;mso-position-horizontal-relative:char;mso-position-vertical-relative:line" coordsize="9248,5402">
            <v:shape id="docshape15" o:spid="_x0000_s2140" alt="" style="position:absolute;left:883;top:4425;width:3446;height:17" coordorigin="883,4426" coordsize="3446,17" path="m4329,4426r-3446,l883,4434r,8l4329,4442r,-8l4329,4426xe" fillcolor="#f1f1f2" stroked="f">
              <v:path arrowok="t"/>
            </v:shape>
            <v:rect id="docshape16" o:spid="_x0000_s2141" alt="" style="position:absolute;left:1079;top:4479;width:493;height:418" fillcolor="#fcf170" stroked="f"/>
            <v:rect id="docshape17" o:spid="_x0000_s2142" alt="" style="position:absolute;left:2704;top:4433;width:493;height:464" fillcolor="#ffd475" stroked="f"/>
            <v:shape id="docshape18" o:spid="_x0000_s2143" alt="" style="position:absolute;left:883;top:3497;width:5070;height:945" coordorigin="883,3497" coordsize="5070,945" o:spt="100" adj="0,,0" path="m4329,3962r-3446,l883,3978r3446,l4329,3962xm5953,4426r-1132,l4821,4434r,8l5953,4442r,-8l5953,4426xm5953,3962r-1132,l4821,3978r1132,l5953,3962xm5953,3497r-5070,l883,3506r,8l5953,3514r,-8l5953,3497xe" fillcolor="#f1f1f2" stroked="f">
              <v:stroke joinstyle="round"/>
              <v:formulas/>
              <v:path arrowok="t" o:connecttype="segments"/>
            </v:shape>
            <v:rect id="docshape19" o:spid="_x0000_s2144" alt="" style="position:absolute;left:4328;top:3505;width:493;height:1392" fillcolor="#f8941f" stroked="f"/>
            <v:shape id="docshape20" o:spid="_x0000_s2145" alt="" style="position:absolute;left:883;top:2569;width:6695;height:1873" coordorigin="883,2569" coordsize="6695,1873" o:spt="100" adj="0,,0" path="m5953,3033r-5070,l883,3049r5070,l5953,3033xm5953,2569r-5070,l883,2585r5070,l5953,2569xm7577,4426r-1132,l6445,4434r,8l7577,4442r,-8l7577,4426xm7577,3962r-1132,l6445,3978r1132,l7577,3962xm7577,3497r-1132,l6445,3506r,8l7577,3514r,-8l7577,3497xm7577,3033r-1132,l6445,3049r1132,l7577,3033xm7577,2569r-1132,l6445,2585r1132,l7577,2569xe" fillcolor="#f1f1f2" stroked="f">
              <v:stroke joinstyle="round"/>
              <v:formulas/>
              <v:path arrowok="t" o:connecttype="segments"/>
            </v:shape>
            <v:rect id="docshape21" o:spid="_x0000_s2146" alt="" style="position:absolute;left:5952;top:2346;width:493;height:2552" fillcolor="#f04c25" stroked="f"/>
            <v:shape id="docshape22" o:spid="_x0000_s2147" alt="" style="position:absolute;left:883;top:1643;width:8122;height:2799" coordorigin="883,1643" coordsize="8122,2799" o:spt="100" adj="0,,0" path="m7577,2108r-6694,l883,2124r6694,l7577,2108xm9005,4426r-936,l8069,4434r,8l9005,4442r,-8l9005,4426xm9005,3962r-936,l8069,3978r936,l9005,3962xm9005,3497r-936,l8069,3506r,8l9005,3514r,-8l9005,3497xm9005,3033r-936,l8069,3049r936,l9005,3033xm9005,2569r-936,l8069,2585r936,l9005,2569xm9005,2108r-936,l8069,2124r936,l9005,2108xm9005,1643r-8122,l883,1651r,9l9005,1660r,-9l9005,1643xe" fillcolor="#f1f1f2" stroked="f">
              <v:stroke joinstyle="round"/>
              <v:formulas/>
              <v:path arrowok="t" o:connecttype="segments"/>
            </v:shape>
            <v:rect id="docshape23" o:spid="_x0000_s2148" alt="" style="position:absolute;left:7577;top:1650;width:493;height:3247" fillcolor="#b61218" stroked="f"/>
            <v:rect id="docshape24" o:spid="_x0000_s2149" alt="" style="position:absolute;left:883;top:4884;width:8122;height:27" fillcolor="#c6c8ca" stroked="f"/>
            <v:shape id="docshape25" o:spid="_x0000_s2150" alt="" style="position:absolute;left:883;top:251;width:8122;height:945" coordorigin="883,251" coordsize="8122,945" o:spt="100" adj="0,,0" path="m9005,1179r-8122,l883,1195r8122,l9005,1179xm9005,715r-8122,l883,731r8122,l9005,715xm9005,251r-8122,l883,267r8122,l9005,251xe" fillcolor="#f1f1f2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6" o:spid="_x0000_s2151" type="#_x0000_t75" alt="" style="position:absolute;width:9248;height:5402">
              <v:imagedata r:id="rId18" o:title=""/>
            </v:shape>
            <v:rect id="docshape27" o:spid="_x0000_s2152" alt="" style="position:absolute;left:1831;top:108;width:4542;height:475" stroked="f"/>
            <v:shape id="docshape28" o:spid="_x0000_s2153" type="#_x0000_t75" alt="" style="position:absolute;left:1998;top:229;width:4201;height:179">
              <v:imagedata r:id="rId19" o:title=""/>
            </v:shape>
            <w10:anchorlock/>
          </v:group>
        </w:pict>
      </w:r>
    </w:p>
    <w:p w14:paraId="2ECB22B1" w14:textId="77777777" w:rsidR="00867206" w:rsidRDefault="00000000">
      <w:pPr>
        <w:pStyle w:val="Corpodetexto"/>
        <w:spacing w:before="4"/>
        <w:rPr>
          <w:sz w:val="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ECB233D" wp14:editId="2ECB233E">
            <wp:simplePos x="0" y="0"/>
            <wp:positionH relativeFrom="page">
              <wp:posOffset>3528059</wp:posOffset>
            </wp:positionH>
            <wp:positionV relativeFrom="paragraph">
              <wp:posOffset>69088</wp:posOffset>
            </wp:positionV>
            <wp:extent cx="1183283" cy="90487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28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B22B2" w14:textId="77777777" w:rsidR="00867206" w:rsidRDefault="00867206">
      <w:pPr>
        <w:pStyle w:val="Corpodetexto"/>
        <w:spacing w:before="8"/>
        <w:rPr>
          <w:sz w:val="6"/>
        </w:rPr>
      </w:pPr>
    </w:p>
    <w:p w14:paraId="2ECB22B3" w14:textId="77777777" w:rsidR="00867206" w:rsidRDefault="00000000">
      <w:pPr>
        <w:pStyle w:val="P68B1DB1-Normal10"/>
        <w:spacing w:before="106"/>
        <w:ind w:left="1297" w:right="1297"/>
        <w:jc w:val="center"/>
      </w:pPr>
      <w:r>
        <w:t>Figura 2. Pontuação de risco simplificada para vômito pós-operatório em crianças (pontuação POVOC) deEberhart</w:t>
      </w:r>
      <w:r>
        <w:rPr>
          <w:vertAlign w:val="superscript"/>
        </w:rPr>
        <w:t xml:space="preserve"> etal7.7</w:t>
      </w:r>
    </w:p>
    <w:p w14:paraId="2ECB22B4" w14:textId="77777777" w:rsidR="00867206" w:rsidRDefault="00867206">
      <w:pPr>
        <w:pStyle w:val="Corpodetexto"/>
        <w:rPr>
          <w:sz w:val="20"/>
        </w:rPr>
      </w:pPr>
    </w:p>
    <w:p w14:paraId="2ECB22B5" w14:textId="77777777" w:rsidR="00867206" w:rsidRDefault="00867206">
      <w:pPr>
        <w:pStyle w:val="Corpodetexto"/>
        <w:rPr>
          <w:sz w:val="20"/>
        </w:rPr>
      </w:pPr>
    </w:p>
    <w:p w14:paraId="2ECB22B6" w14:textId="77777777" w:rsidR="00867206" w:rsidRDefault="00867206">
      <w:pPr>
        <w:pStyle w:val="Corpodetexto"/>
        <w:rPr>
          <w:sz w:val="20"/>
        </w:rPr>
      </w:pPr>
    </w:p>
    <w:p w14:paraId="2ECB22B7" w14:textId="77777777" w:rsidR="00867206" w:rsidRDefault="00867206">
      <w:pPr>
        <w:pStyle w:val="Corpodetexto"/>
        <w:rPr>
          <w:sz w:val="20"/>
        </w:rPr>
      </w:pPr>
    </w:p>
    <w:p w14:paraId="2ECB22B8" w14:textId="77777777" w:rsidR="00867206" w:rsidRDefault="00000000">
      <w:pPr>
        <w:pStyle w:val="Corpodetexto"/>
        <w:spacing w:before="6"/>
        <w:rPr>
          <w:sz w:val="14"/>
        </w:rPr>
      </w:pPr>
      <w:r>
        <w:pict w14:anchorId="2ECB233F">
          <v:group id="docshapegroup29" o:spid="_x0000_s2135" alt="" style="position:absolute;margin-left:58.05pt;margin-top:9.8pt;width:159.65pt;height:282pt;z-index:-15725056;mso-wrap-distance-left:0;mso-wrap-distance-right:0;mso-position-horizontal-relative:page" coordorigin="1161,196" coordsize="3193,5640">
            <v:shape id="docshape30" o:spid="_x0000_s2136" type="#_x0000_t75" alt="" style="position:absolute;left:1161;top:195;width:3193;height:5640">
              <v:imagedata r:id="rId21" o:title=""/>
            </v:shape>
            <v:shape id="docshape31" o:spid="_x0000_s2137" type="#_x0000_t75" alt="" style="position:absolute;left:1639;top:2684;width:2406;height:1135">
              <v:imagedata r:id="rId22" o:title=""/>
            </v:shape>
            <v:shape id="docshape32" o:spid="_x0000_s2138" type="#_x0000_t75" alt="" style="position:absolute;left:1629;top:4280;width:2406;height:1062">
              <v:imagedata r:id="rId23" o:title=""/>
            </v:shape>
            <w10:wrap type="topAndBottom" anchorx="page"/>
          </v:group>
        </w:pict>
      </w:r>
      <w:r>
        <w:pict w14:anchorId="2ECB2340">
          <v:group id="docshapegroup33" o:spid="_x0000_s2125" alt="" style="position:absolute;margin-left:225.05pt;margin-top:10.1pt;width:159.6pt;height:281.45pt;z-index:-15724544;mso-wrap-distance-left:0;mso-wrap-distance-right:0;mso-position-horizontal-relative:page" coordorigin="4501,202" coordsize="3192,5629">
            <v:shape id="docshape34" o:spid="_x0000_s2126" alt="" style="position:absolute;left:4504;top:202;width:3182;height:5629" coordorigin="4505,202" coordsize="3182,5629" path="m7156,202r-2121,l4963,207r-69,14l4829,244r-62,31l4711,313r-51,44l4615,408r-38,57l4546,526r-22,65l4510,660r-5,72l4505,5301r5,72l4524,5442r22,65l4577,5568r38,57l4660,5676r51,45l4767,5759r62,30l4894,5812r69,14l5035,5831r2121,l7228,5826r69,-14l7363,5789r61,-30l7480,5721r51,-45l7576,5625r38,-57l7645,5507r22,-65l7682,5373r4,-72l7686,732r-4,-72l7667,591r-22,-65l7614,465r-38,-57l7531,357r-51,-44l7424,275r-61,-31l7297,221r-69,-14l7156,202xe" fillcolor="#ced9e4" stroked="f">
              <v:path arrowok="t"/>
            </v:shape>
            <v:shape id="docshape35" o:spid="_x0000_s2127" alt="" style="position:absolute;left:4501;top:531;width:3192;height:904" coordorigin="4501,531" coordsize="3192,904" o:spt="100" adj="0,,0" path="m7688,531r-41,l7649,535r1,4l7651,542r31,l7682,664r2,17l7685,698r1,17l7686,732r,703l7688,1435r3,-2l7693,1429r,-892l7691,533r-3,-2xm4544,531r-37,l4503,533r-2,4l4501,1429r2,4l4505,1434r,-702l4505,709r2,-22l4509,664r3,-22l4512,542r28,l4541,539r2,-4l4544,531xe" stroked="f">
              <v:stroke joinstyle="round"/>
              <v:formulas/>
              <v:path arrowok="t" o:connecttype="segments"/>
            </v:shape>
            <v:shape id="docshape36" o:spid="_x0000_s2128" alt="" style="position:absolute;left:4504;top:531;width:3182;height:904" coordorigin="4505,531" coordsize="3182,904" o:spt="100" adj="0,,0" path="m7647,531r-3103,l4543,535r-2,4l4540,542r3111,l7650,539r-1,-4l7647,531xm4512,642r-3,22l4507,687r-2,22l4505,732r,702l4507,1435r3179,l7686,1424r-3174,l4512,642xm7682,664r,760l7686,1424r,-692l7686,715r-1,-17l7684,681r-2,-17xe" fillcolor="#ced9e4" stroked="f">
              <v:stroke joinstyle="round"/>
              <v:formulas/>
              <v:path arrowok="t" o:connecttype="segments"/>
            </v:shape>
            <v:shape id="docshape37" o:spid="_x0000_s2129" type="#_x0000_t75" alt="" style="position:absolute;left:5339;top:692;width:1530;height:183">
              <v:imagedata r:id="rId24" o:title=""/>
            </v:shape>
            <v:shape id="docshape38" o:spid="_x0000_s2130" type="#_x0000_t75" alt="" style="position:absolute;left:4814;top:1061;width:550;height:230">
              <v:imagedata r:id="rId25" o:title=""/>
            </v:shape>
            <v:shape id="docshape39" o:spid="_x0000_s2131" type="#_x0000_t75" alt="" style="position:absolute;left:5395;top:1064;width:1691;height:184">
              <v:imagedata r:id="rId26" o:title=""/>
            </v:shape>
            <v:shape id="docshape40" o:spid="_x0000_s2132" alt="" style="position:absolute;left:7105;top:1061;width:278;height:230" coordorigin="7105,1061" coordsize="278,230" o:spt="100" adj="0,,0" path="m7171,1178r,-2l7171,1174r-1,-4l7168,1167r-3,l7109,1167r-1,1l7106,1172r-1,3l7105,1185r1,3l7108,1192r1,1l7167,1193r2,-1l7171,1188r,-3l7171,1178xm7303,1236r,-9l7303,1225r-2,-4l7300,1218r-3,-1l7231,1217r30,-29l7269,1179r11,-15l7285,1158r7,-12l7294,1140r2,-11l7296,1124r,-11l7295,1107r-4,-11l7288,1091r-9,-8l7274,1080r-13,-4l7253,1075r-14,l7234,1075r-10,3l7219,1079r-8,3l7207,1083r-8,5l7196,1092r-1,2l7194,1098r,10l7195,1114r2,3l7199,1118r4,-2l7214,1110r11,-4l7229,1106r9,l7241,1106r6,2l7249,1110r3,3l7254,1116r1,5l7256,1123r,6l7254,1140r-1,3l7249,1152r-3,4l7239,1166r-5,5l7200,1208r-5,5l7192,1220r-1,5l7191,1236r1,2l7193,1242r4,2l7202,1245r96,l7300,1244r2,-2l7303,1236xm7383,1185r-1,-24l7381,1147r-2,-14l7376,1119r-4,-14l7367,1091r-5,-13l7355,1064r-1,-1l7352,1062r-8,-1l7335,1061r-6,2l7327,1065r1,3l7333,1081r4,13l7341,1107r3,13l7346,1134r2,13l7349,1161r1,14l7349,1189r-1,14l7346,1217r-2,13l7341,1244r-4,13l7333,1270r-5,12l7327,1286r1,2l7333,1290r4,l7347,1290r4,l7354,1288r1,-1l7360,1278r4,-9l7371,1251r3,-10l7378,1223r2,-9l7382,1195r1,-10xe" fillcolor="#231f20" stroked="f">
              <v:stroke joinstyle="round"/>
              <v:formulas/>
              <v:path arrowok="t" o:connecttype="segments"/>
            </v:shape>
            <v:shape id="docshape41" o:spid="_x0000_s2133" type="#_x0000_t75" alt="" style="position:absolute;left:4715;top:1387;width:2714;height:1671">
              <v:imagedata r:id="rId27" o:title=""/>
            </v:shape>
            <v:shape id="docshape42" o:spid="_x0000_s2134" type="#_x0000_t75" alt="" style="position:absolute;left:4751;top:3463;width:2648;height:1618">
              <v:imagedata r:id="rId28" o:title=""/>
            </v:shape>
            <w10:wrap type="topAndBottom" anchorx="page"/>
          </v:group>
        </w:pict>
      </w:r>
      <w:r>
        <w:pict w14:anchorId="2ECB2341">
          <v:group id="docshapegroup43" o:spid="_x0000_s2120" alt="" style="position:absolute;margin-left:394pt;margin-top:9.55pt;width:159.65pt;height:282pt;z-index:-15724032;mso-wrap-distance-left:0;mso-wrap-distance-right:0;mso-position-horizontal-relative:page" coordorigin="7880,191" coordsize="3193,5640">
            <v:shape id="docshape44" o:spid="_x0000_s2121" alt="" style="position:absolute;left:7885;top:196;width:3182;height:5629" coordorigin="7886,197" coordsize="3182,5629" path="m10537,197r-2121,l8344,201r-69,15l8210,238r-62,31l8092,307r-51,45l7996,403r-38,56l7927,521r-22,65l7891,655r-5,72l7886,5295r5,72l7905,5436r22,66l7958,5563r38,56l8041,5670r51,45l8148,5753r62,31l8275,5807r69,14l8416,5826r2121,l10609,5821r69,-14l10744,5784r61,-31l10861,5715r51,-45l10957,5619r38,-56l11026,5502r23,-66l11063,5367r5,-72l11068,727r-5,-72l11049,586r-23,-65l10995,459r-38,-56l10912,352r-51,-45l10805,269r-61,-31l10678,216r-69,-15l10537,197xe" fillcolor="#ced9e4" stroked="f">
              <v:path arrowok="t"/>
            </v:shape>
            <v:shape id="docshape45" o:spid="_x0000_s2122" alt="" style="position:absolute;left:7880;top:191;width:3193;height:5640" coordorigin="7880,191" coordsize="3193,5640" o:spt="100" adj="0,,0" path="m10537,191r-2121,l8343,196r-69,14l8208,233r-62,31l8089,303r-52,45l7992,400r-39,56l7922,518r-23,66l7885,654r-5,73l7880,5295r5,73l7899,5438r23,66l7953,5566r39,57l8037,5674r52,45l8146,5758r62,31l8274,5812r69,14l8416,5831r2121,l10610,5826r30,-6l8416,5820r-85,-7l8250,5793r-75,-32l8106,5719r-61,-53l7993,5605r-43,-69l7918,5461r-20,-81l7891,5295r,-4568l7898,642r20,-81l7950,486r43,-69l8045,356r61,-53l8175,261r75,-32l8331,209r85,-7l10640,202r-30,-6l10537,191xm10640,202r-103,l10622,209r81,20l10778,261r69,42l10908,356r53,61l11003,486r32,75l11055,642r7,85l11062,5295r-7,85l11035,5461r-32,75l10961,5605r-53,61l10847,5719r-69,42l10703,5793r-81,20l10537,5820r103,l10680,5812r66,-23l10808,5758r57,-39l10916,5674r45,-51l11000,5566r31,-62l11054,5438r14,-70l11073,5295r,-4568l11068,654r-14,-70l11031,518r-31,-62l10961,400r-45,-52l10865,303r-57,-39l10746,233r-66,-23l10640,202xe" fillcolor="#009fdb" stroked="f">
              <v:stroke joinstyle="round"/>
              <v:formulas/>
              <v:path arrowok="t" o:connecttype="segments"/>
            </v:shape>
            <v:shape id="docshape46" o:spid="_x0000_s2123" type="#_x0000_t75" alt="" style="position:absolute;left:7987;top:531;width:2994;height:2845">
              <v:imagedata r:id="rId29" o:title=""/>
            </v:shape>
            <v:shape id="docshape47" o:spid="_x0000_s2124" type="#_x0000_t75" alt="" style="position:absolute;left:8160;top:3635;width:2574;height:1450">
              <v:imagedata r:id="rId30" o:title=""/>
            </v:shape>
            <w10:wrap type="topAndBottom" anchorx="page"/>
          </v:group>
        </w:pict>
      </w:r>
    </w:p>
    <w:p w14:paraId="2ECB22B9" w14:textId="77777777" w:rsidR="00867206" w:rsidRDefault="00867206">
      <w:pPr>
        <w:pStyle w:val="Corpodetexto"/>
        <w:spacing w:before="9"/>
        <w:rPr>
          <w:sz w:val="6"/>
        </w:rPr>
      </w:pPr>
    </w:p>
    <w:p w14:paraId="2ECB22BA" w14:textId="77777777" w:rsidR="00867206" w:rsidRDefault="00000000">
      <w:pPr>
        <w:pStyle w:val="P68B1DB1-Normal10"/>
        <w:spacing w:before="104"/>
        <w:ind w:left="1297" w:right="1297"/>
        <w:jc w:val="center"/>
      </w:pPr>
      <w:r>
        <w:t>Figura 3. Exemplo de regime DE profilaxia de POV pediátrica.</w:t>
      </w:r>
      <w:r>
        <w:rPr>
          <w:vertAlign w:val="superscript"/>
        </w:rPr>
        <w:t>4</w:t>
      </w:r>
      <w:r>
        <w:t xml:space="preserve"> Para fatores de risco, consulte a Tabela 1.</w:t>
      </w:r>
    </w:p>
    <w:p w14:paraId="2ECB22BB" w14:textId="77777777" w:rsidR="00867206" w:rsidRDefault="00867206">
      <w:pPr>
        <w:jc w:val="center"/>
        <w:rPr>
          <w:sz w:val="16"/>
        </w:rPr>
        <w:sectPr w:rsidR="00867206">
          <w:pgSz w:w="12240" w:h="15840"/>
          <w:pgMar w:top="1060" w:right="1040" w:bottom="1160" w:left="1040" w:header="0" w:footer="962" w:gutter="0"/>
          <w:cols w:space="720"/>
        </w:sectPr>
      </w:pPr>
    </w:p>
    <w:p w14:paraId="2ECB22BC" w14:textId="77777777" w:rsidR="00867206" w:rsidRDefault="00000000">
      <w:pPr>
        <w:pStyle w:val="P68B1DB1-Normal14"/>
        <w:tabs>
          <w:tab w:val="left" w:pos="5192"/>
        </w:tabs>
        <w:ind w:left="121"/>
      </w:pPr>
      <w:r>
        <w:pict w14:anchorId="2ECB2342">
          <v:group id="docshapegroup48" o:spid="_x0000_s2111" alt="" style="width:242.05pt;height:322.5pt;mso-position-horizontal-relative:char;mso-position-vertical-relative:line" coordsize="4841,6450">
            <v:shape id="docshape49" o:spid="_x0000_s2112" alt="" style="position:absolute;left:5;top:5;width:4830;height:6439" coordorigin="6,6" coordsize="4830,6439" path="m4030,6l810,6,733,9,657,20,584,38,514,62,447,92r-64,36l323,170r-55,46l216,268r-46,55l128,383,92,447,62,514,38,584,20,657,9,733,6,810r,4829l9,5717r11,75l38,5865r24,71l92,6003r36,64l170,6126r46,56l268,6234r55,46l383,6322r64,36l514,6388r70,24l657,6430r76,11l810,6444r3220,l4107,6441r76,-11l4256,6412r70,-24l4393,6358r64,-36l4517,6280r56,-46l4624,6182r47,-56l4712,6067r36,-64l4778,5936r24,-71l4820,5792r11,-75l4835,5639r,-4829l4831,733r-11,-76l4802,584r-24,-70l4748,447r-36,-64l4671,323r-47,-55l4573,216r-56,-46l4457,128,4393,92,4326,62,4256,38,4183,20,4107,9,4030,6xe" fillcolor="#ced9e4" stroked="f">
              <v:path arrowok="t"/>
            </v:shape>
            <v:shape id="docshape50" o:spid="_x0000_s2113" alt="" style="position:absolute;width:4841;height:6450" coordsize="4841,6450" o:spt="100" adj="0,,0" path="m4030,l810,,737,3,665,13,595,29,528,51,463,78r-62,33l343,148r-55,43l237,237r-46,51l148,343r-37,58l78,463,51,528,29,595,13,665,3,737,,810,,5639r3,74l13,5785r16,70l51,5922r27,65l111,6048r37,59l191,6162r46,50l288,6259r55,43l401,6339r62,33l528,6399r67,22l665,6437r72,10l810,6450r3220,l4104,6447r57,-8l810,6439r-81,-4l649,6423r-76,-20l499,6376r-70,-34l363,6302r-61,-46l245,6205r-51,-57l148,6086r-40,-66l74,5951,47,5877,27,5801,15,5721r-4,-82l11,810r4,-81l27,649,47,573,74,499r34,-70l148,363r46,-61l245,245r57,-51l363,148r66,-41l499,74,573,47,649,27,729,15r81,-4l4160,11,4104,3,4030,xm4160,11r-130,l4111,15r80,12l4267,47r74,27l4411,107r66,41l4538,194r57,51l4647,302r46,61l4733,429r33,70l4793,573r20,76l4825,729r4,81l4829,5639r-4,82l4813,5801r-20,76l4766,5951r-33,69l4693,6086r-46,62l4595,6205r-57,51l4477,6302r-66,40l4341,6376r-74,27l4191,6423r-80,12l4030,6439r131,l4175,6437r70,-16l4313,6399r64,-27l4439,6339r58,-37l4552,6259r51,-47l4650,6162r42,-55l4729,6048r33,-61l4789,5922r22,-67l4827,5785r10,-72l4840,5639r,-4829l4837,737r-10,-72l4811,595r-22,-67l4762,463r-33,-62l4692,343r-42,-55l4603,237r-51,-46l4497,148r-58,-37l4377,78,4313,51,4245,29,4175,13r-15,-2xe" fillcolor="#009fdb" stroked="f">
              <v:stroke joinstyle="round"/>
              <v:formulas/>
              <v:path arrowok="t" o:connecttype="segments"/>
            </v:shape>
            <v:shape id="docshape51" o:spid="_x0000_s2114" alt="" style="position:absolute;left:346;top:315;width:4178;height:1178" coordorigin="346,316" coordsize="4178,1178" path="m4523,322r,l4523,318r-3,l4520,316r-4170,l350,318r-3,l347,322r-1,l346,328r,1156l346,1488r1,l347,1492r2,l349,1494r4172,l4521,1492r2,l4523,1488r,l4523,1484r-4166,l357,328r4155,l4512,1483r11,l4523,328r,-1l4523,322xe" fillcolor="#ced9e4" stroked="f">
              <v:path arrowok="t"/>
            </v:shape>
            <v:shape id="docshape52" o:spid="_x0000_s2115" type="#_x0000_t75" alt="" style="position:absolute;left:849;top:472;width:3173;height:555">
              <v:imagedata r:id="rId31" o:title=""/>
            </v:shape>
            <v:shape id="docshape53" o:spid="_x0000_s2116" alt="" style="position:absolute;left:351;top:1637;width:4051;height:2988" coordorigin="352,1637" coordsize="4051,2988" path="m3904,1637r-3054,l776,1643r-70,15l640,1683r-61,34l523,1759r-49,49l432,1864r-34,61l373,1991r-16,71l352,2135r,1992l357,4200r16,71l398,4337r34,61l474,4454r49,49l579,4545r61,34l706,4604r70,15l850,4625r3054,l3978,4619r70,-15l4114,4579r61,-34l4231,4503r49,-49l4322,4398r34,-61l4381,4271r16,-71l4402,4127r,-1992l4397,2062r-16,-71l4356,1925r-34,-61l4280,1808r-49,-49l4175,1717r-61,-34l4048,1658r-70,-15l3904,1637xe" fillcolor="#1c74bb" stroked="f">
              <v:path arrowok="t"/>
            </v:shape>
            <v:shape id="docshape54" o:spid="_x0000_s2117" alt="" style="position:absolute;left:340;top:1626;width:4073;height:3010" coordorigin="341,1626" coordsize="4073,3010" o:spt="100" adj="0,,0" path="m3904,1626r-3054,l775,1632r-72,16l635,1673r-62,35l516,1751r-50,50l423,1858r-35,63l362,1988r-16,72l341,2135r,1992l346,4202r16,72l388,4341r35,63l466,4461r50,50l573,4554r62,35l703,4614r72,16l850,4636r3054,l3979,4630r72,-16l4052,4614r-3202,l771,4607r-75,-18l626,4559r-64,-39l506,4471r-49,-57l417,4351r-29,-70l369,4206r-6,-79l363,2135r6,-79l388,1981r29,-70l457,1848r49,-57l562,1742r64,-39l696,1673r75,-18l850,1648r3203,l4051,1648r-72,-16l3904,1626xm4053,1648r-149,l3983,1655r75,18l4128,1703r64,39l4248,1791r49,57l4337,1911r29,70l4385,2056r6,79l4391,4127r-6,79l4366,4281r-29,70l4297,4414r-49,57l4192,4520r-64,39l4058,4589r-75,18l3904,4614r148,l4119,4589r62,-35l4238,4511r50,-50l4331,4404r35,-63l4392,4274r16,-72l4413,4127r,-1992l4408,2060r-16,-72l4366,1921r-35,-63l4288,1801r-50,-50l4181,1708r-62,-35l4053,1648xe" stroked="f">
              <v:stroke joinstyle="round"/>
              <v:formulas/>
              <v:path arrowok="t" o:connecttype="segments"/>
            </v:shape>
            <v:shape id="docshape55" o:spid="_x0000_s2118" alt="" style="position:absolute;left:818;top:2055;width:3277;height:1600" coordorigin="819,2055" coordsize="3277,1600" path="m4095,2061r,l4095,2057r-3,l4092,2055r-8,l4084,2067r,1576l830,3643r,-1576l4084,2067r,-12l822,2055r,2l819,2057r,4l819,2061r,6l819,3643r,6l819,3649r,4l822,3653r,2l4092,3655r,-2l4095,3653r,-4l4095,3649r,-5l4095,3643r,-1576l4095,2066r,-5xe" fillcolor="#1c74bb" stroked="f">
              <v:path arrowok="t"/>
            </v:shape>
            <v:shape id="docshape56" o:spid="_x0000_s2119" type="#_x0000_t75" alt="" style="position:absolute;left:1005;top:2852;width:2914;height:240">
              <v:imagedata r:id="rId32" o:title=""/>
            </v:shape>
            <w10:anchorlock/>
          </v:group>
        </w:pict>
      </w:r>
      <w:r>
        <w:tab/>
      </w:r>
      <w:r>
        <w:rPr>
          <w:position w:val="3"/>
        </w:rPr>
      </w:r>
      <w:r>
        <w:rPr>
          <w:position w:val="3"/>
        </w:rPr>
        <w:pict w14:anchorId="2ECB2344">
          <v:group id="docshapegroup57" o:spid="_x0000_s2085" alt="" style="width:242.05pt;height:322.5pt;mso-position-horizontal-relative:char;mso-position-vertical-relative:line" coordsize="4841,6450">
            <v:shape id="docshape58" o:spid="_x0000_s2086" alt="" style="position:absolute;left:5;top:5;width:4830;height:6439" coordorigin="6,6" coordsize="4830,6439" path="m4030,6l810,6,733,9,657,20,584,38,514,62,447,92r-64,36l323,170r-55,46l216,268r-46,55l128,383,92,447,62,514,38,584,20,657,9,733,6,810r,4829l9,5717r11,75l38,5865r24,71l92,6003r36,64l170,6126r46,56l268,6234r55,46l383,6322r64,36l514,6388r70,24l657,6430r76,11l810,6444r3220,l4107,6441r76,-11l4256,6412r70,-24l4393,6358r64,-36l4517,6280r56,-46l4624,6182r47,-56l4712,6067r36,-64l4778,5936r24,-71l4820,5792r11,-75l4835,5639r,-4829l4831,733r-11,-76l4802,584r-24,-70l4748,447r-36,-64l4671,323r-47,-55l4573,216r-56,-46l4457,128,4393,92,4326,62,4256,38,4183,20,4107,9,4030,6xe" fillcolor="#ced9e4" stroked="f">
              <v:path arrowok="t"/>
            </v:shape>
            <v:shape id="docshape59" o:spid="_x0000_s2087" alt="" style="position:absolute;width:4841;height:6450" coordsize="4841,6450" o:spt="100" adj="0,,0" path="m4030,l810,,737,3,665,13,595,29,528,51,463,78r-62,33l343,148r-55,43l237,237r-46,51l148,343r-37,58l78,463,51,528,29,595,13,665,3,737,,810,,5639r3,74l13,5785r16,70l51,5922r27,65l111,6048r37,59l191,6162r46,50l288,6259r55,43l401,6339r62,33l528,6399r67,22l665,6437r72,10l810,6450r3220,l4104,6447r56,-8l810,6439r-81,-4l649,6423r-76,-20l499,6376r-70,-34l363,6302r-61,-46l245,6205r-51,-57l148,6086r-40,-66l74,5951,47,5877,27,5801,15,5721r-4,-82l11,810r4,-81l27,649,47,573,74,499r34,-70l148,363r46,-61l245,245r57,-51l363,148r66,-41l499,74,573,47,649,27,729,15r81,-4l4160,11,4104,3,4030,xm4160,11r-130,l4111,15r80,12l4267,47r74,27l4411,107r66,41l4538,194r57,51l4647,302r46,61l4733,429r33,70l4793,573r20,76l4825,729r4,81l4829,5639r-4,82l4813,5801r-20,76l4766,5951r-33,69l4693,6086r-46,62l4595,6205r-57,51l4477,6302r-66,40l4341,6376r-74,27l4191,6423r-80,12l4030,6439r130,l4175,6437r70,-16l4313,6399r64,-27l4439,6339r58,-37l4552,6259r51,-47l4650,6162r42,-55l4729,6048r33,-61l4789,5922r22,-67l4827,5785r10,-72l4840,5639r,-4829l4837,737r-10,-72l4811,595r-22,-67l4762,463r-33,-62l4692,343r-42,-55l4603,237r-51,-46l4497,148r-58,-37l4377,78,4313,51,4245,29,4175,13r-15,-2xe" fillcolor="#009fdb" stroked="f">
              <v:stroke joinstyle="round"/>
              <v:formulas/>
              <v:path arrowok="t" o:connecttype="segments"/>
            </v:shape>
            <v:shape id="docshape60" o:spid="_x0000_s2088" alt="" style="position:absolute;left:113;top:347;width:32;height:49" coordorigin="114,348" coordsize="32,49" path="m145,348r-26,l115,349r-1,4l114,396r3,-6l121,384r4,-6l125,359r13,l143,351r2,-3xe" stroked="f">
              <v:path arrowok="t"/>
            </v:shape>
            <v:shape id="docshape61" o:spid="_x0000_s2089" alt="" style="position:absolute;left:113;top:347;width:4545;height:1327" coordorigin="114,348" coordsize="4545,1327" path="m4653,348r-4494,l151,359r4496,l4647,1663r-4522,l125,399r-11,19l114,1668r1,4l119,1674r4534,l4656,1672r2,-4l4658,353r-2,-4l4653,348xe" fillcolor="#ced9e4" stroked="f">
              <v:path arrowok="t"/>
            </v:shape>
            <v:shape id="docshape62" o:spid="_x0000_s2090" alt="" style="position:absolute;left:113;top:347;width:45;height:71" coordorigin="114,348" coordsize="45,71" o:spt="100" adj="0,,0" path="m159,348r-14,l143,351r-5,8l151,359r2,-4l159,348xm125,378r-4,6l117,390r-3,6l114,418r3,-6l121,406r4,-7l125,378xe" fillcolor="#009fdb" stroked="f">
              <v:stroke joinstyle="round"/>
              <v:formulas/>
              <v:path arrowok="t" o:connecttype="segments"/>
            </v:shape>
            <v:shape id="docshape63" o:spid="_x0000_s2091" type="#_x0000_t75" alt="" style="position:absolute;left:387;top:504;width:4006;height:877">
              <v:imagedata r:id="rId33" o:title=""/>
            </v:shape>
            <v:shape id="docshape64" o:spid="_x0000_s2092" alt="" style="position:absolute;left:243;top:1873;width:4300;height:1102" coordorigin="244,1873" coordsize="4300,1102" path="m4360,1873r-3933,l356,1888r-58,39l258,1985r-14,72l244,2791r14,71l298,2921r58,39l427,2974r3933,l4431,2960r59,-39l4529,2862r14,-71l4543,2057r-14,-72l4490,1927r-59,-39l4360,1873xe" fillcolor="#1c74bb" stroked="f">
              <v:path arrowok="t"/>
            </v:shape>
            <v:shape id="docshape65" o:spid="_x0000_s2093" alt="" style="position:absolute;left:232;top:1862;width:4322;height:1124" coordorigin="233,1862" coordsize="4322,1124" o:spt="100" adj="0,,0" path="m4360,1862r-3933,l352,1878r-62,41l248,1981r-15,76l233,2791r15,76l290,2929r62,41l427,2985r3933,l4436,2970r10,-7l427,2963r-34,-3l360,2950r-29,-16l305,2913r-21,-26l268,2858r-10,-32l255,2791r,-734l258,2022r10,-32l284,1960r21,-25l331,1914r29,-16l393,1888r34,-4l4446,1884r-10,-6l4360,1862xm4446,1884r-86,l4395,1888r32,10l4456,1914r26,21l4503,1960r16,30l4529,2022r3,35l4532,2791r-3,35l4519,2858r-16,29l4482,2913r-26,21l4427,2950r-32,10l4360,2963r86,l4497,2929r42,-62l4554,2791r,-734l4539,1981r-42,-62l4446,1884xe" stroked="f">
              <v:stroke joinstyle="round"/>
              <v:formulas/>
              <v:path arrowok="t" o:connecttype="segments"/>
            </v:shape>
            <v:shape id="docshape66" o:spid="_x0000_s2094" alt="" style="position:absolute;left:319;top:3288;width:4176;height:1221" coordorigin="320,3289" coordsize="4176,1221" path="m4293,3289r-3770,l444,3305r-64,43l336,3413r-16,79l320,4306r16,79l380,4450r64,43l523,4509r3770,l4372,4493r64,-43l4480,4385r16,-79l4496,3492r-16,-79l4436,3348r-64,-43l4293,3289xe" fillcolor="#1c74bb" stroked="f">
              <v:path arrowok="t"/>
            </v:shape>
            <v:shape id="docshape67" o:spid="_x0000_s2095" alt="" style="position:absolute;left:308;top:3277;width:4199;height:1243" coordorigin="309,3278" coordsize="4199,1243" o:spt="100" adj="0,,0" path="m4293,3278r-3770,l456,3289r-59,30l350,3366r-30,59l309,3492r,814l320,4374r30,58l397,4479r59,30l523,4520r3770,l4360,4509r22,-11l523,4498r-38,-4l448,4483r-32,-18l387,4442r-23,-29l346,4381r-11,-36l331,4306r,-814l335,3454r11,-37l364,3385r23,-29l416,3333r32,-18l485,3304r38,-4l4382,3300r-22,-11l4293,3278xm4382,3300r-89,l4331,3304r36,11l4400,3333r29,23l4452,3385r18,32l4481,3454r4,38l4485,4306r-4,39l4470,4381r-18,32l4429,4442r-29,23l4367,4483r-36,11l4293,4498r89,l4419,4479r47,-47l4496,4374r11,-68l4507,3492r-11,-67l4466,3366r-47,-47l4382,3300xe" stroked="f">
              <v:stroke joinstyle="round"/>
              <v:formulas/>
              <v:path arrowok="t" o:connecttype="segments"/>
            </v:shape>
            <v:shape id="docshape68" o:spid="_x0000_s2096" alt="" style="position:absolute;left:240;top:2845;width:10;height:27" coordorigin="241,2845" coordsize="10,27" path="m241,2845r,21l242,2870r4,2l250,2872r-4,-9l243,2855r-2,-10xe" fillcolor="#ced9e4" stroked="f">
              <v:path arrowok="t"/>
            </v:shape>
            <v:shape id="docshape69" o:spid="_x0000_s2097" alt="" style="position:absolute;left:254;top:2041;width:4246;height:831" coordorigin="255,2041" coordsize="4246,831" path="m4495,2041r-4239,l255,2052r4234,l4489,2861r-4219,l275,2872r4220,l4499,2870r1,-4l4500,2047r-1,-4l4495,2041xe" fillcolor="#1c74bb" stroked="f">
              <v:path arrowok="t"/>
            </v:shape>
            <v:shape id="docshape70" o:spid="_x0000_s2098" alt="" style="position:absolute;left:240;top:2041;width:35;height:831" coordorigin="241,2041" coordsize="35,831" path="m256,2041r-10,l242,2043r-1,4l241,2845r2,10l246,2863r4,9l275,2872r-2,-4l271,2865r-1,-4l252,2861r,-809l255,2052r,-4l255,2045r1,-4xe" stroked="f">
              <v:path arrowok="t"/>
            </v:shape>
            <v:shape id="docshape71" o:spid="_x0000_s2099" type="#_x0000_t75" alt="" style="position:absolute;left:678;top:2191;width:3378;height:563">
              <v:imagedata r:id="rId34" o:title=""/>
            </v:shape>
            <v:shape id="docshape72" o:spid="_x0000_s2100" alt="" style="position:absolute;left:238;top:3354;width:4510;height:1106" coordorigin="238,3354" coordsize="4510,1106" o:spt="100" adj="0,,0" path="m4742,3354r-286,l4459,3358r3,3l4465,3365r271,l4736,4448r-283,l4449,4452r-3,4l4442,4459r300,l4746,4458r1,-4l4747,3360r-1,-4l4742,3354xm359,3354r-115,l240,3356r-2,4l238,4454r2,4l244,4459r130,l370,4456r-3,-4l363,4448r-114,l249,3365r102,l354,3361r2,-3l359,3354xe" fillcolor="#ced9e4" stroked="f">
              <v:stroke joinstyle="round"/>
              <v:formulas/>
              <v:path arrowok="t" o:connecttype="segments"/>
            </v:shape>
            <v:shape id="docshape73" o:spid="_x0000_s2101" alt="" style="position:absolute;left:379;top:3354;width:4058;height:1106" coordorigin="379,3354" coordsize="4058,1106" o:spt="100" adj="0,,0" path="m4426,3354r-4036,l384,3359r-2,3l379,3365r4058,l4434,3362r-3,-3l4426,3354xm4422,4448r-4028,l399,4452r4,4l408,4459r4000,l4413,4456r4,-4l4422,4448xe" fillcolor="#1c74bb" stroked="f">
              <v:stroke joinstyle="round"/>
              <v:formulas/>
              <v:path arrowok="t" o:connecttype="segments"/>
            </v:shape>
            <v:shape id="docshape74" o:spid="_x0000_s2102" alt="" style="position:absolute;left:350;top:3354;width:4115;height:1106" coordorigin="351,3354" coordsize="4115,1106" o:spt="100" adj="0,,0" path="m4456,3354r-30,l4431,3359r3,3l4437,3365r28,l4462,3361r-3,-3l4456,3354xm390,3354r-31,l356,3358r-2,3l351,3365r28,l382,3362r3,-3l390,3354xm4453,4448r-31,l4417,4452r-4,4l4408,4459r34,l4446,4456r3,-4l4453,4448xm394,4448r-31,l367,4452r3,4l374,4459r34,l403,4456r-4,-4l394,4448xe" stroked="f">
              <v:stroke joinstyle="round"/>
              <v:formulas/>
              <v:path arrowok="t" o:connecttype="segments"/>
            </v:shape>
            <v:shape id="docshape75" o:spid="_x0000_s2103" type="#_x0000_t75" alt="" style="position:absolute;left:821;top:3892;width:356;height:131">
              <v:imagedata r:id="rId35" o:title=""/>
            </v:shape>
            <v:shape id="docshape76" o:spid="_x0000_s2104" type="#_x0000_t75" alt="" style="position:absolute;left:591;top:3515;width:3813;height:854">
              <v:imagedata r:id="rId36" o:title=""/>
            </v:shape>
            <v:shape id="docshape77" o:spid="_x0000_s2105" alt="" style="position:absolute;left:376;top:4848;width:4176;height:1200" coordorigin="376,4848" coordsize="4176,1200" path="m4352,4848r-3776,l498,4864r-63,43l392,4970r-16,78l376,5847r16,78l435,5989r63,43l576,6047r3776,l4430,6032r64,-43l4536,5925r16,-78l4552,5048r-16,-78l4494,4907r-64,-43l4352,4848xe" fillcolor="#1c74bb" stroked="f">
              <v:path arrowok="t"/>
            </v:shape>
            <v:shape id="docshape78" o:spid="_x0000_s2106" alt="" style="position:absolute;left:365;top:4836;width:4199;height:1222" coordorigin="365,4837" coordsize="4199,1222" o:spt="100" adj="0,,0" path="m4352,4837r-3776,l509,4848r-57,30l406,4923r-30,58l365,5048r,799l376,5914r30,58l452,6018r57,30l576,6058r3776,l4419,6048r22,-12l576,6036r-38,-4l503,6021r-32,-17l443,5981r-23,-28l402,5921r-11,-36l387,5847r,-799l391,5010r11,-36l420,4942r23,-28l471,4891r32,-17l538,4863r38,-4l4441,4859r-22,-11l4352,4837xm4441,4859r-89,l4390,4863r36,11l4458,4891r28,23l4509,4942r17,32l4537,5010r4,38l4541,5847r-4,38l4526,5921r-17,32l4486,5981r-28,23l4426,6021r-36,11l4352,6036r89,l4477,6018r46,-46l4552,5914r11,-67l4563,5048r-11,-67l4523,4923r-46,-45l4441,4859xe" stroked="f">
              <v:stroke joinstyle="round"/>
              <v:formulas/>
              <v:path arrowok="t" o:connecttype="segments"/>
            </v:shape>
            <v:shape id="docshape79" o:spid="_x0000_s2107" alt="" style="position:absolute;left:387;top:5044;width:3821;height:820" coordorigin="387,5044" coordsize="3821,820" path="m4208,5050r-1,l4207,5046r-2,l4205,5044r-3818,l387,5046r,4l387,5056r3810,l4197,5854r-3810,l387,5858r1,2l388,5862r,2l4206,5864r,-2l4207,5862r,-2l4208,5860r,-2l4208,5854r,-798l4208,5050xe" fillcolor="#1c74bb" stroked="f">
              <v:path arrowok="t"/>
            </v:shape>
            <v:shape id="docshape80" o:spid="_x0000_s2108" alt="" style="position:absolute;left:367;top:5044;width:21;height:821" coordorigin="367,5044" coordsize="21,821" path="m387,5044r-14,l369,5046r-2,4l367,5860r2,4l373,5865r15,l388,5862r,-4l387,5854r-9,l378,5055r9,l387,5044xe" stroked="f">
              <v:path arrowok="t"/>
            </v:shape>
            <v:shape id="docshape81" o:spid="_x0000_s2109" type="#_x0000_t75" alt="" style="position:absolute;left:1287;top:5206;width:1993;height:183">
              <v:imagedata r:id="rId37" o:title=""/>
            </v:shape>
            <v:shape id="docshape82" o:spid="_x0000_s2110" type="#_x0000_t75" alt="" style="position:absolute;left:879;top:5529;width:2813;height:228">
              <v:imagedata r:id="rId38" o:title=""/>
            </v:shape>
            <w10:anchorlock/>
          </v:group>
        </w:pict>
      </w:r>
    </w:p>
    <w:p w14:paraId="2ECB22BD" w14:textId="77777777" w:rsidR="00867206" w:rsidRDefault="00000000">
      <w:pPr>
        <w:pStyle w:val="P68B1DB1-Normal10"/>
        <w:spacing w:before="153"/>
        <w:ind w:left="1297" w:right="1297"/>
        <w:jc w:val="center"/>
      </w:pPr>
      <w:r>
        <w:t>Figura 4. Exemplo de regime de profilaxia de vômito pós-operatório pediátrico.</w:t>
      </w:r>
      <w:r>
        <w:rPr>
          <w:vertAlign w:val="superscript"/>
        </w:rPr>
        <w:t>5</w:t>
      </w:r>
    </w:p>
    <w:p w14:paraId="2ECB22BE" w14:textId="77777777" w:rsidR="00867206" w:rsidRDefault="00867206">
      <w:pPr>
        <w:pStyle w:val="Corpodetexto"/>
        <w:rPr>
          <w:sz w:val="20"/>
        </w:rPr>
      </w:pPr>
    </w:p>
    <w:p w14:paraId="2ECB22BF" w14:textId="77777777" w:rsidR="00867206" w:rsidRDefault="00867206">
      <w:pPr>
        <w:pStyle w:val="Corpodetexto"/>
        <w:rPr>
          <w:sz w:val="20"/>
        </w:rPr>
      </w:pPr>
    </w:p>
    <w:p w14:paraId="2ECB22C0" w14:textId="77777777" w:rsidR="00867206" w:rsidRDefault="00867206">
      <w:pPr>
        <w:pStyle w:val="Corpodetexto"/>
        <w:spacing w:before="2"/>
        <w:rPr>
          <w:sz w:val="20"/>
        </w:rPr>
      </w:pPr>
    </w:p>
    <w:p w14:paraId="2ECB22C1" w14:textId="77777777" w:rsidR="00867206" w:rsidRDefault="00000000">
      <w:pPr>
        <w:pStyle w:val="P68B1DB1-Heading16"/>
        <w:spacing w:before="63"/>
        <w:jc w:val="both"/>
      </w:pPr>
      <w:r>
        <w:t>REDUÇÃO DE RISCO</w:t>
      </w:r>
    </w:p>
    <w:p w14:paraId="2ECB22C2" w14:textId="77777777" w:rsidR="00867206" w:rsidRDefault="00000000">
      <w:pPr>
        <w:pStyle w:val="P68B1DB1-Heading213"/>
        <w:spacing w:before="128"/>
        <w:jc w:val="both"/>
      </w:pPr>
      <w:r>
        <w:t>Escolha da Técnica Anestésica</w:t>
      </w:r>
    </w:p>
    <w:p w14:paraId="2ECB22C3" w14:textId="77777777" w:rsidR="00867206" w:rsidRDefault="00000000">
      <w:pPr>
        <w:pStyle w:val="P68B1DB1-BodyText3"/>
        <w:spacing w:before="124" w:line="256" w:lineRule="auto"/>
        <w:ind w:left="112" w:right="110"/>
        <w:jc w:val="both"/>
      </w:pPr>
      <w:r>
        <w:t>O uso de anestesia intravenosa total (tiva) demonstrou reduzir o POV pediátrico; no entanto, está associado a um risco aumentado de bradicardia, em particular durante a cirurgia de estrabismo secundária ao reflexo oculocardíaco.</w:t>
      </w:r>
      <w:r>
        <w:rPr>
          <w:vertAlign w:val="superscript"/>
        </w:rPr>
        <w:t>4</w:t>
      </w:r>
    </w:p>
    <w:p w14:paraId="2ECB22C4" w14:textId="77777777" w:rsidR="00867206" w:rsidRDefault="00867206">
      <w:pPr>
        <w:pStyle w:val="Corpodetexto"/>
        <w:spacing w:before="1"/>
        <w:rPr>
          <w:sz w:val="21"/>
        </w:rPr>
      </w:pPr>
    </w:p>
    <w:p w14:paraId="2ECB22C5" w14:textId="77777777" w:rsidR="00867206" w:rsidRDefault="00000000">
      <w:pPr>
        <w:pStyle w:val="P68B1DB1-Heading213"/>
        <w:spacing w:before="1"/>
        <w:jc w:val="both"/>
      </w:pPr>
      <w:r>
        <w:t>Técnicas de Poupança de Opioides</w:t>
      </w:r>
    </w:p>
    <w:p w14:paraId="2ECB22C6" w14:textId="77777777" w:rsidR="00867206" w:rsidRDefault="00000000">
      <w:pPr>
        <w:pStyle w:val="P68B1DB1-BodyText3"/>
        <w:spacing w:before="123" w:line="256" w:lineRule="auto"/>
        <w:ind w:left="111" w:right="110"/>
        <w:jc w:val="both"/>
      </w:pPr>
      <w:r>
        <w:t>Evidências apoiam o uso de técnicas poupadoras de opioides na prevenção de POV pediátrico.</w:t>
      </w:r>
      <w:r>
        <w:rPr>
          <w:vertAlign w:val="superscript"/>
        </w:rPr>
        <w:t>5,6</w:t>
      </w:r>
      <w:r>
        <w:t xml:space="preserve"> Isso pode ser conseguido usando analgésicos sistêmicos não opioides (como paracetamol e/ou lidocaína) e procedimentos anestésicos regionais (por exemplo, blocos caudais, transversos do plano abdominal ou da bainha do reto, que são seguros e eficazes).</w:t>
      </w:r>
      <w:r>
        <w:rPr>
          <w:vertAlign w:val="superscript"/>
        </w:rPr>
        <w:t>4</w:t>
      </w:r>
      <w:r>
        <w:t xml:space="preserve"> </w:t>
      </w:r>
    </w:p>
    <w:p w14:paraId="2ECB22C7" w14:textId="77777777" w:rsidR="00867206" w:rsidRDefault="00867206">
      <w:pPr>
        <w:pStyle w:val="Corpodetexto"/>
        <w:spacing w:before="3"/>
        <w:rPr>
          <w:sz w:val="21"/>
        </w:rPr>
      </w:pPr>
    </w:p>
    <w:p w14:paraId="2ECB22C8" w14:textId="77777777" w:rsidR="00867206" w:rsidRDefault="00000000">
      <w:pPr>
        <w:pStyle w:val="P68B1DB1-Heading213"/>
        <w:jc w:val="both"/>
      </w:pPr>
      <w:r>
        <w:t>Administração de Fluidos</w:t>
      </w:r>
    </w:p>
    <w:p w14:paraId="2ECB22C9" w14:textId="77777777" w:rsidR="00867206" w:rsidRDefault="00000000">
      <w:pPr>
        <w:pStyle w:val="P68B1DB1-BodyText3"/>
        <w:spacing w:before="124" w:line="256" w:lineRule="auto"/>
        <w:ind w:left="112" w:right="110"/>
        <w:jc w:val="both"/>
      </w:pPr>
      <w:r>
        <w:t>Tem sido sugerido que o jejum prolongado está associado a náuseas e vômitos. Uma revisão recente recomenda a retomada precoce e liberal da ingestão de líquidos orais no pós-operatório, pois está associada à redução da POV.</w:t>
      </w:r>
      <w:r>
        <w:rPr>
          <w:vertAlign w:val="superscript"/>
        </w:rPr>
        <w:t>8</w:t>
      </w:r>
      <w:r>
        <w:t xml:space="preserve"> </w:t>
      </w:r>
    </w:p>
    <w:p w14:paraId="2ECB22CA" w14:textId="77777777" w:rsidR="00867206" w:rsidRDefault="00867206">
      <w:pPr>
        <w:pStyle w:val="Corpodetexto"/>
        <w:spacing w:before="2"/>
        <w:rPr>
          <w:sz w:val="21"/>
        </w:rPr>
      </w:pPr>
    </w:p>
    <w:p w14:paraId="2ECB22CB" w14:textId="77777777" w:rsidR="00867206" w:rsidRDefault="00000000">
      <w:pPr>
        <w:pStyle w:val="P68B1DB1-Heading213"/>
      </w:pPr>
      <w:r>
        <w:t>Pré-medicação</w:t>
      </w:r>
    </w:p>
    <w:p w14:paraId="2ECB22CC" w14:textId="77777777" w:rsidR="00867206" w:rsidRDefault="00000000">
      <w:pPr>
        <w:pStyle w:val="P68B1DB1-BodyText3"/>
        <w:spacing w:before="124" w:line="254" w:lineRule="auto"/>
        <w:ind w:left="112"/>
      </w:pPr>
      <w:r>
        <w:t>O uso concomitante deagonistas a2, como dexmedetomidina intranasal ou clonidina oral, está associado a taxas reduzidas de NVPO em crianças em comparação com outras pré-medicações ou placebos</w:t>
      </w:r>
      <w:r>
        <w:rPr>
          <w:vertAlign w:val="superscript"/>
        </w:rPr>
        <w:t xml:space="preserve"> ,9,10</w:t>
      </w:r>
      <w:r>
        <w:t xml:space="preserve"> mas estudos adicionais seriam benéficos.</w:t>
      </w:r>
    </w:p>
    <w:p w14:paraId="2ECB22CD" w14:textId="77777777" w:rsidR="00867206" w:rsidRDefault="00867206">
      <w:pPr>
        <w:pStyle w:val="Corpodetexto"/>
        <w:spacing w:before="5"/>
        <w:rPr>
          <w:sz w:val="21"/>
        </w:rPr>
      </w:pPr>
    </w:p>
    <w:p w14:paraId="2ECB22CE" w14:textId="77777777" w:rsidR="00867206" w:rsidRDefault="00000000">
      <w:pPr>
        <w:pStyle w:val="P68B1DB1-Heading16"/>
      </w:pPr>
      <w:r>
        <w:t>AGENTES FARMACOLÓGICOS PARA PROFILAXIA OU TRATAMENTO</w:t>
      </w:r>
    </w:p>
    <w:p w14:paraId="2ECB22CF" w14:textId="77777777" w:rsidR="00867206" w:rsidRDefault="00000000">
      <w:pPr>
        <w:pStyle w:val="P68B1DB1-BodyText3"/>
        <w:spacing w:before="124"/>
        <w:ind w:left="112"/>
      </w:pPr>
      <w:r>
        <w:t>A seguir estão os medicamentos antieméticos relacionados aos seus receptores (Figura 5).</w:t>
      </w:r>
    </w:p>
    <w:p w14:paraId="2ECB22D0" w14:textId="77777777" w:rsidR="00867206" w:rsidRDefault="00867206">
      <w:pPr>
        <w:sectPr w:rsidR="00867206">
          <w:pgSz w:w="12240" w:h="15840"/>
          <w:pgMar w:top="1060" w:right="1040" w:bottom="1160" w:left="1040" w:header="0" w:footer="962" w:gutter="0"/>
          <w:cols w:space="720"/>
        </w:sectPr>
      </w:pPr>
    </w:p>
    <w:p w14:paraId="2ECB22D1" w14:textId="77777777" w:rsidR="00867206" w:rsidRDefault="00000000">
      <w:pPr>
        <w:pStyle w:val="P68B1DB1-BodyText9"/>
        <w:ind w:left="121"/>
      </w:pPr>
      <w:r>
        <w:pict w14:anchorId="2ECB2346">
          <v:group id="docshapegroup83" o:spid="_x0000_s2051" alt="" style="width:495.6pt;height:252.5pt;mso-position-horizontal-relative:char;mso-position-vertical-relative:line" coordsize="9912,5050">
            <v:shape id="docshape84" o:spid="_x0000_s2052" type="#_x0000_t75" alt="" style="position:absolute;left:3408;top:3175;width:1876;height:1874">
              <v:imagedata r:id="rId39" o:title=""/>
            </v:shape>
            <v:shape id="docshape85" o:spid="_x0000_s2053" type="#_x0000_t75" alt="" style="position:absolute;left:3832;top:3725;width:1025;height:489">
              <v:imagedata r:id="rId40" o:title=""/>
            </v:shape>
            <v:shape id="docshape86" o:spid="_x0000_s2054" type="#_x0000_t75" alt="" style="position:absolute;left:3879;top:4318;width:676;height:207">
              <v:imagedata r:id="rId41" o:title=""/>
            </v:shape>
            <v:shape id="docshape87" o:spid="_x0000_s2055" type="#_x0000_t75" alt="" style="position:absolute;left:4585;top:4318;width:224;height:207">
              <v:imagedata r:id="rId42" o:title=""/>
            </v:shape>
            <v:shape id="docshape88" o:spid="_x0000_s2056" type="#_x0000_t75" alt="" style="position:absolute;left:1293;top:1911;width:2205;height:1686">
              <v:imagedata r:id="rId43" o:title=""/>
            </v:shape>
            <v:shape id="docshape89" o:spid="_x0000_s2057" type="#_x0000_t75" alt="" style="position:absolute;left:1607;top:2182;width:1152;height:191">
              <v:imagedata r:id="rId44" o:title=""/>
            </v:shape>
            <v:shape id="docshape90" o:spid="_x0000_s2058" type="#_x0000_t75" alt="" style="position:absolute;left:1620;top:2510;width:1131;height:211">
              <v:imagedata r:id="rId45" o:title=""/>
            </v:shape>
            <v:shape id="docshape91" o:spid="_x0000_s2059" type="#_x0000_t75" alt="" style="position:absolute;left:1672;top:2897;width:1025;height:153">
              <v:imagedata r:id="rId46" o:title=""/>
            </v:shape>
            <v:shape id="docshape92" o:spid="_x0000_s2060" type="#_x0000_t75" alt="" style="position:absolute;left:3150;top:853;width:2358;height:2244">
              <v:imagedata r:id="rId47" o:title=""/>
            </v:shape>
            <v:shape id="docshape93" o:spid="_x0000_s2061" type="#_x0000_t75" alt="" style="position:absolute;left:3448;top:1300;width:1767;height:540">
              <v:imagedata r:id="rId48" o:title=""/>
            </v:shape>
            <v:shape id="docshape94" o:spid="_x0000_s2062" type="#_x0000_t75" alt="" style="position:absolute;left:3636;top:2023;width:282;height:174">
              <v:imagedata r:id="rId49" o:title=""/>
            </v:shape>
            <v:shape id="docshape95" o:spid="_x0000_s2063" type="#_x0000_t75" alt="" style="position:absolute;left:3989;top:2025;width:541;height:195">
              <v:imagedata r:id="rId50" o:title=""/>
            </v:shape>
            <v:shape id="docshape96" o:spid="_x0000_s2064" type="#_x0000_t75" alt="" style="position:absolute;left:4603;top:2025;width:116;height:141">
              <v:imagedata r:id="rId51" o:title=""/>
            </v:shape>
            <v:shape id="docshape97" o:spid="_x0000_s2065" type="#_x0000_t75" alt="" style="position:absolute;left:4749;top:2025;width:277;height:142">
              <v:imagedata r:id="rId52" o:title=""/>
            </v:shape>
            <v:shape id="docshape98" o:spid="_x0000_s2066" type="#_x0000_t75" alt="" style="position:absolute;left:5253;top:2034;width:2717;height:1674">
              <v:imagedata r:id="rId53" o:title=""/>
            </v:shape>
            <v:shape id="docshape99" o:spid="_x0000_s2067" type="#_x0000_t75" alt="" style="position:absolute;left:5882;top:2305;width:1798;height:191">
              <v:imagedata r:id="rId54" o:title=""/>
            </v:shape>
            <v:shape id="docshape100" o:spid="_x0000_s2068" type="#_x0000_t75" alt="" style="position:absolute;left:6522;top:2633;width:523;height:165">
              <v:imagedata r:id="rId55" o:title=""/>
            </v:shape>
            <v:shape id="docshape101" o:spid="_x0000_s2069" type="#_x0000_t75" alt="" style="position:absolute;left:6542;top:3030;width:489;height:195">
              <v:imagedata r:id="rId56" o:title=""/>
            </v:shape>
            <v:shape id="docshape102" o:spid="_x0000_s2070" alt="" style="position:absolute;left:9;top:3175;width:2851;height:912" coordorigin="9,3175" coordsize="2851,912" path="m2708,3175r-2547,l102,3187r-48,33l21,3268,9,3327r,608l21,3994r33,48l102,4075r59,12l2708,4087r59,-12l2815,4042r33,-48l2860,3935r,-608l2848,3268r-33,-48l2767,3187r-59,-12xe" fillcolor="#f47d2a" stroked="f">
              <v:path arrowok="t"/>
            </v:shape>
            <v:shape id="docshape103" o:spid="_x0000_s2071" alt="" style="position:absolute;top:3166;width:2869;height:930" coordorigin=",3166" coordsize="2869,930" o:spt="100" adj="0,,0" path="m2708,3166r-2547,l98,3179r-51,34l13,3264,,3327r,608l13,3997r34,52l98,4083r63,13l2708,4096r62,-13l2779,4077r-2618,l132,4075r-26,-9l81,4053,60,4036,43,4015,30,3990r-9,-26l18,3935r,-608l21,3298r9,-26l43,3247r17,-21l81,3209r25,-13l132,3187r29,-3l2779,3184r-9,-5l2708,3166xm2779,3184r-71,l2736,3187r27,9l2787,3209r22,17l2826,3247r13,25l2848,3298r2,29l2850,3935r-2,29l2839,3990r-13,25l2809,4036r-22,17l2763,4066r-27,9l2708,4077r71,l2822,4049r34,-52l2869,3935r,-608l2856,3264r-34,-51l2779,3184xe" fillcolor="#00569b" stroked="f">
              <v:stroke joinstyle="round"/>
              <v:formulas/>
              <v:path arrowok="t" o:connecttype="segments"/>
            </v:shape>
            <v:shape id="docshape104" o:spid="_x0000_s2072" type="#_x0000_t75" alt="" style="position:absolute;left:63;top:3295;width:2744;height:672">
              <v:imagedata r:id="rId57" o:title=""/>
            </v:shape>
            <v:shape id="docshape105" o:spid="_x0000_s2073" type="#_x0000_t75" alt="" style="position:absolute;left:308;top:3384;width:2259;height:540">
              <v:imagedata r:id="rId58" o:title=""/>
            </v:shape>
            <v:shape id="docshape106" o:spid="_x0000_s2074" alt="" style="position:absolute;left:7363;top:3070;width:2540;height:494" coordorigin="7363,3071" coordsize="2540,494" path="m9821,3071r-2375,l7414,3077r-27,18l7370,3121r-7,32l7363,3482r7,32l7387,3540r27,18l7446,3564r2375,l9853,3558r26,-18l9896,3514r7,-32l9903,3153r-7,-32l9879,3095r-26,-18l9821,3071xe" fillcolor="#f47d2a" stroked="f">
              <v:path arrowok="t"/>
            </v:shape>
            <v:shape id="docshape107" o:spid="_x0000_s2075" alt="" style="position:absolute;left:7354;top:3061;width:2558;height:512" coordorigin="7354,3062" coordsize="2558,512" o:spt="100" adj="0,,0" path="m9821,3062r-2375,l7410,3069r-29,20l7361,3118r-7,35l7354,3482r7,36l7381,3547r29,19l7446,3574r2375,l9856,3566r17,-11l7446,3555r-29,-6l7394,3534r-16,-23l7372,3482r,-329l7378,3125r16,-23l7417,3086r29,-6l9873,3080r-17,-11l9821,3062xm9873,3080r-52,l9849,3086r23,16l9888,3125r6,28l9894,3482r-6,29l9872,3534r-23,15l9821,3555r52,l9885,3547r20,-29l9912,3482r,-329l9905,3118r-20,-29l9873,3080xe" fillcolor="#00569b" stroked="f">
              <v:stroke joinstyle="round"/>
              <v:formulas/>
              <v:path arrowok="t" o:connecttype="segments"/>
            </v:shape>
            <v:shape id="docshape108" o:spid="_x0000_s2076" type="#_x0000_t75" alt="" style="position:absolute;left:7396;top:3171;width:2473;height:294">
              <v:imagedata r:id="rId59" o:title=""/>
            </v:shape>
            <v:shape id="docshape109" o:spid="_x0000_s2077" alt="" style="position:absolute;left:7585;top:3251;width:107;height:167" coordorigin="7585,3251" coordsize="107,167" path="m7677,3251r-80,l7595,3252r-3,3l7592,3258r,77l7592,3337r2,3l7596,3340r10,l7614,3339r15,l7657,3360r,9l7630,3391r-11,l7614,3391r-11,-3l7593,3383r-4,-1l7588,3382r-2,2l7585,3390r,10l7638,3418r9,-2l7692,3370r,-16l7691,3347r-2,-6l7686,3335r-40,-21l7622,3314r-3,1l7619,3280r60,l7680,3279r2,-5l7682,3270r,-13l7681,3255r-2,-3l7677,3251xe" stroked="f">
              <v:path arrowok="t"/>
            </v:shape>
            <v:shape id="docshape110" o:spid="_x0000_s2078" type="#_x0000_t75" alt="" style="position:absolute;left:7710;top:3239;width:1968;height:195">
              <v:imagedata r:id="rId60" o:title=""/>
            </v:shape>
            <v:shape id="docshape111" o:spid="_x0000_s2079" alt="" style="position:absolute;left:5055;top:9;width:4154;height:1202" coordorigin="5056,9" coordsize="4154,1202" path="m9009,9l5256,9r-78,16l5115,68r-43,63l5056,209r,801l5072,1088r43,64l5178,1195r78,15l9009,1210r78,-15l9150,1152r43,-64l9209,1010r,-801l9193,131,9150,68,9087,25,9009,9xe" fillcolor="#f47d2a" stroked="f">
              <v:path arrowok="t"/>
            </v:shape>
            <v:shape id="docshape112" o:spid="_x0000_s2080" alt="" style="position:absolute;left:5046;width:4172;height:1220" coordorigin="5047" coordsize="4172,1220" o:spt="100" adj="0,,0" path="m9009,l5256,r-66,11l5132,40r-45,46l5057,143r-10,66l5047,1010r10,66l5087,1134r45,45l5190,1209r66,10l9009,1219r66,-10l9090,1201r-3834,l5218,1197r-36,-11l5149,1168r-28,-23l5098,1117r-18,-33l5069,1049r-4,-39l5065,209r4,-38l5080,135r18,-32l5121,74r28,-23l5182,33r36,-11l5256,18r3834,l9075,11,9009,xm9090,18r-81,l9047,22r36,11l9116,51r28,23l9167,103r18,32l9196,171r4,38l9200,1010r-4,39l9185,1084r-18,33l9144,1145r-28,23l9083,1186r-36,11l9009,1201r81,l9132,1179r46,-45l9208,1076r10,-66l9218,209r-10,-66l9178,86,9132,40,9090,18xe" fillcolor="#00569b" stroked="f">
              <v:stroke joinstyle="round"/>
              <v:formulas/>
              <v:path arrowok="t" o:connecttype="segments"/>
            </v:shape>
            <v:shape id="docshape113" o:spid="_x0000_s2081" type="#_x0000_t75" alt="" style="position:absolute;left:5122;top:143;width:4018;height:934">
              <v:imagedata r:id="rId61" o:title=""/>
            </v:shape>
            <v:shape id="docshape114" o:spid="_x0000_s2082" type="#_x0000_t75" alt="" style="position:absolute;left:6566;top:264;width:1674;height:190">
              <v:imagedata r:id="rId62" o:title=""/>
            </v:shape>
            <v:shape id="docshape115" o:spid="_x0000_s2083" type="#_x0000_t75" alt="" style="position:absolute;left:5265;top:264;width:1798;height:439">
              <v:imagedata r:id="rId63" o:title=""/>
            </v:shape>
            <v:shape id="docshape116" o:spid="_x0000_s2084" type="#_x0000_t75" alt="" style="position:absolute;left:5270;top:809;width:1533;height:186">
              <v:imagedata r:id="rId64" o:title=""/>
            </v:shape>
            <w10:anchorlock/>
          </v:group>
        </w:pict>
      </w:r>
    </w:p>
    <w:p w14:paraId="2ECB22D2" w14:textId="77777777" w:rsidR="00867206" w:rsidRDefault="00867206">
      <w:pPr>
        <w:pStyle w:val="Corpodetexto"/>
        <w:spacing w:before="9"/>
        <w:rPr>
          <w:sz w:val="6"/>
        </w:rPr>
      </w:pPr>
    </w:p>
    <w:p w14:paraId="2ECB22D3" w14:textId="77777777" w:rsidR="00867206" w:rsidRDefault="00000000">
      <w:pPr>
        <w:pStyle w:val="P68B1DB1-Normal10"/>
        <w:spacing w:before="75" w:line="259" w:lineRule="auto"/>
        <w:ind w:left="2429" w:hanging="2318"/>
      </w:pPr>
      <w:r>
        <w:t>Figura 5. Resumo dos locais de ação antieméticos. receptor 5-HT3, 5-hidroxitriptamina 3; D2, receptor de dopamina 2; H1, receptor de histamina 1; mACh, receptor de acetilcolina muscarínico; NK1, receptor de neuroquinina tipo 1.</w:t>
      </w:r>
    </w:p>
    <w:p w14:paraId="2ECB22D4" w14:textId="77777777" w:rsidR="00867206" w:rsidRDefault="00867206">
      <w:pPr>
        <w:pStyle w:val="Corpodetexto"/>
        <w:rPr>
          <w:sz w:val="20"/>
        </w:rPr>
      </w:pPr>
    </w:p>
    <w:p w14:paraId="2ECB22D5" w14:textId="77777777" w:rsidR="00867206" w:rsidRDefault="00867206">
      <w:pPr>
        <w:pStyle w:val="Corpodetexto"/>
        <w:spacing w:before="7"/>
        <w:rPr>
          <w:sz w:val="28"/>
        </w:rPr>
      </w:pPr>
    </w:p>
    <w:p w14:paraId="2ECB22D6" w14:textId="77777777" w:rsidR="00867206" w:rsidRDefault="00000000">
      <w:pPr>
        <w:pStyle w:val="P68B1DB1-Heading213"/>
        <w:spacing w:before="63"/>
      </w:pPr>
      <w:r>
        <w:t>Antagonista primário 5-HT3: Ondansetron</w:t>
      </w:r>
    </w:p>
    <w:p w14:paraId="2ECB22D7" w14:textId="77777777" w:rsidR="00867206" w:rsidRDefault="00000000">
      <w:pPr>
        <w:pStyle w:val="P68B1DB1-BodyText3"/>
        <w:spacing w:before="127" w:line="259" w:lineRule="auto"/>
        <w:ind w:left="111" w:right="110"/>
        <w:jc w:val="both"/>
      </w:pPr>
      <w:r>
        <w:t>Esta classe de medicamentos tem um grande corpo de evidências que suportam a sua utilização na prevenção de POV</w:t>
      </w:r>
      <w:r>
        <w:rPr>
          <w:vertAlign w:val="superscript"/>
        </w:rPr>
        <w:t>4</w:t>
      </w:r>
      <w:r>
        <w:t xml:space="preserve"> pediátrica, e o uso de ondansetrona é generalizada. A ondansetrona demonstrou ser eficaz na redução da POV em crianças de maneira relacionada à dose, com a via oral (se tolerada) tendo eficácia semelhante à via intravenosa e o momento da dose (da pré-indução ao pós-operatório) não tendo efeito.</w:t>
      </w:r>
      <w:r>
        <w:rPr>
          <w:vertAlign w:val="superscript"/>
        </w:rPr>
        <w:t>5</w:t>
      </w:r>
      <w:r>
        <w:t xml:space="preserve"> Demonstrou-se ser superior ao droperidol e à metoclopramida</w:t>
      </w:r>
      <w:r>
        <w:rPr>
          <w:vertAlign w:val="superscript"/>
        </w:rPr>
        <w:t>11</w:t>
      </w:r>
      <w:r>
        <w:t xml:space="preserve">  e, portanto,é recomendado como primeira linha para a prevenção de POV no Reino Unido e nos Estados Unidos.</w:t>
      </w:r>
      <w:r>
        <w:rPr>
          <w:vertAlign w:val="superscript"/>
        </w:rPr>
        <w:t>4,5</w:t>
      </w:r>
      <w:r>
        <w:t xml:space="preserve"> Outros agonistas 5-HT3 tais como tropisetrom, granisetrom, dolasetrom, ramosetrom e palonosetrom têm níveis variados de evidência e não estão todos licenciados para utilização em crianças.</w:t>
      </w:r>
    </w:p>
    <w:p w14:paraId="2ECB22D8" w14:textId="77777777" w:rsidR="00867206" w:rsidRDefault="00000000">
      <w:pPr>
        <w:pStyle w:val="P68B1DB1-BodyText3"/>
        <w:spacing w:before="124" w:line="259" w:lineRule="auto"/>
        <w:ind w:left="111" w:right="110"/>
        <w:jc w:val="both"/>
      </w:pPr>
      <w:r>
        <w:t>A ondansetrona é um derivado do carbazol que antagoniza os receptores 5-HT3 (hipoteticamente tendo efeitos centrais</w:t>
      </w:r>
      <w:r>
        <w:rPr>
          <w:vertAlign w:val="superscript"/>
        </w:rPr>
        <w:t xml:space="preserve"> eperiféricos1)</w:t>
      </w:r>
      <w:r>
        <w:t>.</w:t>
      </w:r>
    </w:p>
    <w:p w14:paraId="2ECB22D9" w14:textId="77777777" w:rsidR="00867206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23"/>
        <w:ind w:right="0"/>
        <w:jc w:val="left"/>
      </w:pPr>
      <w:r>
        <w:t xml:space="preserve">Dose: 50–150 </w:t>
      </w:r>
      <w:r>
        <w:rPr>
          <w:rFonts w:ascii="Times New Roman" w:hAnsi="Times New Roman"/>
        </w:rPr>
        <w:t>l</w:t>
      </w:r>
      <w:r>
        <w:t>g/kg até 4 mg</w:t>
      </w:r>
    </w:p>
    <w:p w14:paraId="2ECB22DA" w14:textId="77777777" w:rsidR="00867206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8"/>
        <w:ind w:right="0"/>
        <w:jc w:val="left"/>
      </w:pPr>
      <w:r>
        <w:t>Efeitos colaterais: dor de cabeça, constipação, arritmias cardíacas; é contraindicado na síndrome do</w:t>
      </w:r>
      <w:r>
        <w:rPr>
          <w:vertAlign w:val="superscript"/>
        </w:rPr>
        <w:t xml:space="preserve"> QTlongo12</w:t>
      </w:r>
    </w:p>
    <w:p w14:paraId="2ECB22DB" w14:textId="77777777" w:rsidR="00867206" w:rsidRDefault="00867206">
      <w:pPr>
        <w:pStyle w:val="Corpodetexto"/>
        <w:spacing w:before="9"/>
        <w:rPr>
          <w:sz w:val="22"/>
        </w:rPr>
      </w:pPr>
    </w:p>
    <w:p w14:paraId="2ECB22DC" w14:textId="77777777" w:rsidR="00867206" w:rsidRDefault="00000000">
      <w:pPr>
        <w:pStyle w:val="P68B1DB1-Heading213"/>
      </w:pPr>
      <w:r>
        <w:t>Antagonistas da dopamina: Metoclopramida, Proclorperazina, Droperidol</w:t>
      </w:r>
    </w:p>
    <w:p w14:paraId="2ECB22DD" w14:textId="77777777" w:rsidR="00867206" w:rsidRDefault="00000000">
      <w:pPr>
        <w:pStyle w:val="P68B1DB1-BodyText3"/>
        <w:spacing w:before="128" w:line="259" w:lineRule="auto"/>
        <w:ind w:left="111" w:right="109"/>
        <w:jc w:val="both"/>
      </w:pPr>
      <w:r>
        <w:t>Devido à falta de evidências para apoiar o uso de metoclopramida na prevenção de POV pediátrico, e um aumento da taxa de efeitos colaterais extrapiramidais em crianças em comparação com adultos, não é recomendado para este fim no Reino Unido.</w:t>
      </w:r>
      <w:r>
        <w:rPr>
          <w:vertAlign w:val="superscript"/>
        </w:rPr>
        <w:t>5</w:t>
      </w:r>
      <w:r>
        <w:t xml:space="preserve"> No entanto, nos Estados Unidos, a metoclopramida é considerada uma opção para o tratamento de POV se outros agentes profiláticos falharem.</w:t>
      </w:r>
      <w:r>
        <w:rPr>
          <w:vertAlign w:val="superscript"/>
        </w:rPr>
        <w:t>4</w:t>
      </w:r>
      <w:r>
        <w:t>A proclorperazina não é recomendada para prevenir a POV em crianças, uma vez que não foi estudada neste contexto e tem um amplo perfil de efeitos secundários.</w:t>
      </w:r>
      <w:r>
        <w:rPr>
          <w:vertAlign w:val="superscript"/>
        </w:rPr>
        <w:t>5</w:t>
      </w:r>
      <w:r>
        <w:t xml:space="preserve"> O uso de droperidol tem sido limitado na prática devido a potenciais efeitos colaterais extrapiramidais ou arritmias; no entanto, as diretrizes do Reino Unido recomendam uma dose baixa como medicação de segunda linha para prevenção ou tratamento de POV, pois demonstrou ser eficaz e seguro, a menos que contraindicado (por exemplo, em pacientes com síndrome do QT longo).</w:t>
      </w:r>
      <w:r>
        <w:rPr>
          <w:vertAlign w:val="superscript"/>
        </w:rPr>
        <w:t>5</w:t>
      </w:r>
    </w:p>
    <w:p w14:paraId="2ECB22DE" w14:textId="77777777" w:rsidR="00867206" w:rsidRDefault="00867206">
      <w:pPr>
        <w:pStyle w:val="Corpodetexto"/>
        <w:spacing w:before="3"/>
        <w:rPr>
          <w:sz w:val="21"/>
        </w:rPr>
      </w:pPr>
    </w:p>
    <w:p w14:paraId="2ECB22DF" w14:textId="77777777" w:rsidR="00867206" w:rsidRDefault="00000000">
      <w:pPr>
        <w:pStyle w:val="P68B1DB1-Heading315"/>
      </w:pPr>
      <w:r>
        <w:t>Metoclopramida</w:t>
      </w:r>
    </w:p>
    <w:p w14:paraId="2ECB22E0" w14:textId="77777777" w:rsidR="00867206" w:rsidRDefault="00000000">
      <w:pPr>
        <w:pStyle w:val="P68B1DB1-BodyText3"/>
        <w:spacing w:before="135"/>
        <w:ind w:left="112"/>
      </w:pPr>
      <w:r>
        <w:t>A metoclopramida é um derivado da benzamida que atua como antagonista da dopamina e também atua diretamente no trato GI.</w:t>
      </w:r>
    </w:p>
    <w:p w14:paraId="2ECB22E1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38"/>
        <w:ind w:right="0"/>
        <w:jc w:val="left"/>
        <w:rPr>
          <w:lang w:val="es-ES"/>
        </w:rPr>
      </w:pPr>
      <w:proofErr w:type="spellStart"/>
      <w:r w:rsidRPr="00C04269">
        <w:rPr>
          <w:lang w:val="es-ES"/>
        </w:rPr>
        <w:t>Dose</w:t>
      </w:r>
      <w:proofErr w:type="spellEnd"/>
      <w:r w:rsidRPr="00C04269">
        <w:rPr>
          <w:lang w:val="es-ES"/>
        </w:rPr>
        <w:t xml:space="preserve">: 100-150 </w:t>
      </w:r>
      <w:proofErr w:type="spellStart"/>
      <w:r w:rsidRPr="00C04269">
        <w:rPr>
          <w:rFonts w:ascii="Times New Roman" w:hAnsi="Times New Roman"/>
          <w:lang w:val="es-ES"/>
        </w:rPr>
        <w:t>lg</w:t>
      </w:r>
      <w:proofErr w:type="spellEnd"/>
      <w:r w:rsidRPr="00C04269">
        <w:rPr>
          <w:lang w:val="es-ES"/>
        </w:rPr>
        <w:t>/kg (máximo 10 mg)</w:t>
      </w:r>
    </w:p>
    <w:p w14:paraId="2ECB22E2" w14:textId="77777777" w:rsidR="00867206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9" w:line="259" w:lineRule="auto"/>
        <w:jc w:val="left"/>
      </w:pPr>
      <w:r>
        <w:t>Efeitos colaterais: efeitos extrapiramidais (por exemplo, crise oculogírica ou discinesia tardia); pode causar síndrome maligna neuroléptica, bem como hipotensão ou arritmias</w:t>
      </w:r>
      <w:r>
        <w:rPr>
          <w:vertAlign w:val="superscript"/>
        </w:rPr>
        <w:t>12</w:t>
      </w:r>
    </w:p>
    <w:p w14:paraId="2ECB22E3" w14:textId="77777777" w:rsidR="00867206" w:rsidRDefault="00867206">
      <w:pPr>
        <w:spacing w:line="259" w:lineRule="auto"/>
        <w:rPr>
          <w:sz w:val="18"/>
        </w:rPr>
        <w:sectPr w:rsidR="00867206">
          <w:pgSz w:w="12240" w:h="15840"/>
          <w:pgMar w:top="1060" w:right="1040" w:bottom="1160" w:left="1040" w:header="0" w:footer="962" w:gutter="0"/>
          <w:cols w:space="720"/>
        </w:sectPr>
      </w:pPr>
    </w:p>
    <w:p w14:paraId="2ECB22E4" w14:textId="77777777" w:rsidR="00867206" w:rsidRDefault="00000000">
      <w:pPr>
        <w:pStyle w:val="P68B1DB1-Heading315"/>
        <w:spacing w:before="48"/>
      </w:pPr>
      <w:r>
        <w:lastRenderedPageBreak/>
        <w:t>Droperidol</w:t>
      </w:r>
    </w:p>
    <w:p w14:paraId="2ECB22E5" w14:textId="77777777" w:rsidR="00867206" w:rsidRDefault="00000000">
      <w:pPr>
        <w:pStyle w:val="P68B1DB1-BodyText3"/>
        <w:spacing w:before="132"/>
        <w:ind w:left="112"/>
      </w:pPr>
      <w:r>
        <w:t xml:space="preserve">O droperidol é uma butirofenona que antagoniza os receptores D2 na CTZ e os receptores </w:t>
      </w:r>
      <w:r>
        <w:rPr>
          <w:rFonts w:ascii="Times New Roman"/>
        </w:rPr>
        <w:t>a</w:t>
      </w:r>
      <w:r>
        <w:t>periféricos.</w:t>
      </w:r>
      <w:r>
        <w:rPr>
          <w:vertAlign w:val="superscript"/>
        </w:rPr>
        <w:t>1,3</w:t>
      </w:r>
    </w:p>
    <w:p w14:paraId="2ECB22E6" w14:textId="77777777" w:rsidR="00867206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34" w:line="254" w:lineRule="auto"/>
      </w:pPr>
      <w:r>
        <w:t xml:space="preserve">Dose: 10-25 </w:t>
      </w:r>
      <w:r>
        <w:rPr>
          <w:rFonts w:ascii="Times New Roman" w:hAnsi="Times New Roman"/>
        </w:rPr>
        <w:t>l</w:t>
      </w:r>
      <w:r>
        <w:t xml:space="preserve">g/kg até 1,25 mg; devido ao potencial de efeitos colaterais, a dose mais baixa de 10 </w:t>
      </w:r>
      <w:r>
        <w:rPr>
          <w:rFonts w:ascii="Times New Roman" w:hAnsi="Times New Roman"/>
        </w:rPr>
        <w:t>l</w:t>
      </w:r>
      <w:r>
        <w:t>g/kg tende a ser usada na prática clínica</w:t>
      </w:r>
    </w:p>
    <w:p w14:paraId="2ECB22E7" w14:textId="77777777" w:rsidR="00867206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4" w:line="256" w:lineRule="auto"/>
      </w:pPr>
      <w:r>
        <w:t>Efeitos secundários: sedação, apreensão, hipotensão, efeitos secundários extrapiramidais relacionados com a dose e síndrome neuroléptica maligna</w:t>
      </w:r>
      <w:r>
        <w:rPr>
          <w:vertAlign w:val="superscript"/>
        </w:rPr>
        <w:t>12</w:t>
      </w:r>
    </w:p>
    <w:p w14:paraId="2ECB22E8" w14:textId="77777777" w:rsidR="00867206" w:rsidRDefault="00867206">
      <w:pPr>
        <w:pStyle w:val="Corpodetexto"/>
        <w:spacing w:before="2"/>
        <w:rPr>
          <w:sz w:val="21"/>
        </w:rPr>
      </w:pPr>
    </w:p>
    <w:p w14:paraId="2ECB22E9" w14:textId="77777777" w:rsidR="00867206" w:rsidRDefault="00000000">
      <w:pPr>
        <w:pStyle w:val="P68B1DB1-Heading213"/>
      </w:pPr>
      <w:r>
        <w:t>Anticolinérgicos: Escopolamina</w:t>
      </w:r>
    </w:p>
    <w:p w14:paraId="2ECB22EA" w14:textId="77777777" w:rsidR="00867206" w:rsidRDefault="00000000">
      <w:pPr>
        <w:pStyle w:val="P68B1DB1-BodyText3"/>
        <w:spacing w:before="123" w:line="256" w:lineRule="auto"/>
        <w:ind w:left="111" w:right="110"/>
        <w:jc w:val="both"/>
      </w:pPr>
      <w:r>
        <w:t>Os anticolinérgicos são antagonistas seletivos nos receptores muscarínicos e, portanto, têm um amplo perfil de efeitos colaterais, incluindo sedação, boca seca, retenção urinária, visão turva, inquietação e alucinações. A escopolamina transdérmica pode ter um papel na melhoria segura da NVPO emadolescentes</w:t>
      </w:r>
      <w:r>
        <w:rPr>
          <w:vertAlign w:val="superscript"/>
        </w:rPr>
        <w:t>14</w:t>
      </w:r>
      <w:r>
        <w:t>; no entanto, uma meta-análise recomendada contra seu uso em pacientes pediátricos mais jovens.</w:t>
      </w:r>
      <w:r>
        <w:rPr>
          <w:vertAlign w:val="superscript"/>
        </w:rPr>
        <w:t>15</w:t>
      </w:r>
      <w:r>
        <w:t xml:space="preserve"> </w:t>
      </w:r>
    </w:p>
    <w:p w14:paraId="2ECB22EB" w14:textId="77777777" w:rsidR="00867206" w:rsidRDefault="00867206">
      <w:pPr>
        <w:pStyle w:val="Corpodetexto"/>
        <w:spacing w:before="2"/>
        <w:rPr>
          <w:sz w:val="21"/>
        </w:rPr>
      </w:pPr>
    </w:p>
    <w:p w14:paraId="2ECB22EC" w14:textId="77777777" w:rsidR="00867206" w:rsidRDefault="00000000">
      <w:pPr>
        <w:pStyle w:val="P68B1DB1-Heading213"/>
        <w:jc w:val="both"/>
      </w:pPr>
      <w:r>
        <w:t>Anti-histamínicos: Ciclizina, Dimenidrinato</w:t>
      </w:r>
    </w:p>
    <w:p w14:paraId="2ECB22ED" w14:textId="77777777" w:rsidR="00867206" w:rsidRPr="00C04269" w:rsidRDefault="00000000">
      <w:pPr>
        <w:pStyle w:val="P68B1DB1-BodyText3"/>
        <w:spacing w:before="123" w:line="256" w:lineRule="auto"/>
        <w:ind w:left="111" w:right="110"/>
        <w:jc w:val="both"/>
        <w:rPr>
          <w:sz w:val="17"/>
          <w:szCs w:val="17"/>
        </w:rPr>
      </w:pPr>
      <w:r w:rsidRPr="00C04269">
        <w:rPr>
          <w:sz w:val="17"/>
          <w:szCs w:val="17"/>
        </w:rPr>
        <w:t>Faltam estudos sobre a ciclizina para a prevenção da DPO pediátrica; no entanto, as evidências existentes indicam que ela é ineficaz e, portanto, não é recomendada no Reino Unido.</w:t>
      </w:r>
      <w:r w:rsidRPr="00C04269">
        <w:rPr>
          <w:sz w:val="17"/>
          <w:szCs w:val="17"/>
          <w:vertAlign w:val="superscript"/>
        </w:rPr>
        <w:t>5</w:t>
      </w:r>
      <w:r w:rsidRPr="00C04269">
        <w:rPr>
          <w:sz w:val="17"/>
          <w:szCs w:val="17"/>
        </w:rPr>
        <w:t xml:space="preserve"> As diretrizes do Reino Unido também afirmam que, embora haja literatura comprovando o uso de dimenidrinato para reduzir o POV pediátrico, esse efeito protetor pode não se estender às amigdalectomias.</w:t>
      </w:r>
      <w:r w:rsidRPr="00C04269">
        <w:rPr>
          <w:sz w:val="17"/>
          <w:szCs w:val="17"/>
          <w:vertAlign w:val="superscript"/>
        </w:rPr>
        <w:t>5</w:t>
      </w:r>
    </w:p>
    <w:p w14:paraId="2ECB22EE" w14:textId="77777777" w:rsidR="00867206" w:rsidRDefault="00867206">
      <w:pPr>
        <w:pStyle w:val="Corpodetexto"/>
        <w:spacing w:before="10"/>
        <w:rPr>
          <w:sz w:val="20"/>
        </w:rPr>
      </w:pPr>
    </w:p>
    <w:p w14:paraId="2ECB22EF" w14:textId="77777777" w:rsidR="00867206" w:rsidRDefault="00000000">
      <w:pPr>
        <w:pStyle w:val="P68B1DB1-Heading315"/>
        <w:spacing w:before="1"/>
      </w:pPr>
      <w:r>
        <w:t>Ciclizina</w:t>
      </w:r>
    </w:p>
    <w:p w14:paraId="2ECB22F0" w14:textId="77777777" w:rsidR="00867206" w:rsidRPr="00C04269" w:rsidRDefault="00000000">
      <w:pPr>
        <w:pStyle w:val="P68B1DB1-BodyText3"/>
        <w:spacing w:before="131" w:line="256" w:lineRule="auto"/>
        <w:ind w:left="112" w:right="110"/>
        <w:jc w:val="both"/>
        <w:rPr>
          <w:sz w:val="17"/>
          <w:szCs w:val="17"/>
        </w:rPr>
      </w:pPr>
      <w:r w:rsidRPr="00C04269">
        <w:rPr>
          <w:sz w:val="17"/>
          <w:szCs w:val="17"/>
        </w:rPr>
        <w:t>A ciclizina é um antagonista H1 com propriedades anticolinérgicas combinadas. É usado como um antiemético na doença de movimento, radioterapia e emese induzida por opióides em adultos.</w:t>
      </w:r>
    </w:p>
    <w:p w14:paraId="2ECB22F1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20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Dose: 0,5-1 mg/kg até 50 mg</w:t>
      </w:r>
    </w:p>
    <w:p w14:paraId="2ECB22F2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6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Efeitos colaterais: taquicardia com injeção intravenosa, dor na injeção, sintomas extrapiramidais</w:t>
      </w:r>
      <w:r w:rsidRPr="00C04269">
        <w:rPr>
          <w:sz w:val="17"/>
          <w:szCs w:val="17"/>
          <w:vertAlign w:val="superscript"/>
        </w:rPr>
        <w:t>12</w:t>
      </w:r>
    </w:p>
    <w:p w14:paraId="2ECB22F3" w14:textId="77777777" w:rsidR="00867206" w:rsidRPr="00C04269" w:rsidRDefault="00867206">
      <w:pPr>
        <w:pStyle w:val="Corpodetexto"/>
        <w:spacing w:before="2"/>
        <w:rPr>
          <w:sz w:val="17"/>
          <w:szCs w:val="17"/>
        </w:rPr>
      </w:pPr>
    </w:p>
    <w:p w14:paraId="2ECB22F4" w14:textId="77777777" w:rsidR="00867206" w:rsidRPr="00C04269" w:rsidRDefault="00000000">
      <w:pPr>
        <w:pStyle w:val="P68B1DB1-Heading315"/>
        <w:rPr>
          <w:sz w:val="17"/>
          <w:szCs w:val="17"/>
        </w:rPr>
      </w:pPr>
      <w:r w:rsidRPr="00C04269">
        <w:rPr>
          <w:sz w:val="17"/>
          <w:szCs w:val="17"/>
        </w:rPr>
        <w:t>Dimenidrinato</w:t>
      </w:r>
    </w:p>
    <w:p w14:paraId="2ECB22F5" w14:textId="77777777" w:rsidR="00867206" w:rsidRPr="00C04269" w:rsidRDefault="00000000">
      <w:pPr>
        <w:pStyle w:val="P68B1DB1-BodyText3"/>
        <w:spacing w:before="131"/>
        <w:ind w:left="112"/>
        <w:rPr>
          <w:sz w:val="17"/>
          <w:szCs w:val="17"/>
        </w:rPr>
      </w:pPr>
      <w:r w:rsidRPr="00C04269">
        <w:rPr>
          <w:sz w:val="17"/>
          <w:szCs w:val="17"/>
        </w:rPr>
        <w:t>Dimenidrinato tem propriedades antieméticas atribuídas ao antagonismo competitivo H1 no sistema vestibular</w:t>
      </w:r>
    </w:p>
    <w:p w14:paraId="2ECB22F6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35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Dose: 0,5 mg/kg até 25 mg</w:t>
      </w:r>
    </w:p>
    <w:p w14:paraId="2ECB22F7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6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Efeitos colaterais: sintomas antimuscarínicos, como sedação ou boca seca</w:t>
      </w:r>
      <w:r w:rsidRPr="00C04269">
        <w:rPr>
          <w:sz w:val="17"/>
          <w:szCs w:val="17"/>
          <w:vertAlign w:val="superscript"/>
        </w:rPr>
        <w:t>5</w:t>
      </w:r>
    </w:p>
    <w:p w14:paraId="2ECB22F8" w14:textId="77777777" w:rsidR="00867206" w:rsidRDefault="00867206">
      <w:pPr>
        <w:pStyle w:val="Corpodetexto"/>
        <w:spacing w:before="5"/>
        <w:rPr>
          <w:sz w:val="22"/>
        </w:rPr>
      </w:pPr>
    </w:p>
    <w:p w14:paraId="2ECB22F9" w14:textId="77777777" w:rsidR="00867206" w:rsidRDefault="00000000">
      <w:pPr>
        <w:pStyle w:val="P68B1DB1-Heading213"/>
        <w:jc w:val="both"/>
      </w:pPr>
      <w:r>
        <w:t>Antagonistas NK1: Aprepitant, Fosaprepitant</w:t>
      </w:r>
    </w:p>
    <w:p w14:paraId="2ECB22FA" w14:textId="77777777" w:rsidR="00867206" w:rsidRPr="00C04269" w:rsidRDefault="00000000">
      <w:pPr>
        <w:pStyle w:val="P68B1DB1-BodyText3"/>
        <w:spacing w:before="123" w:line="256" w:lineRule="auto"/>
        <w:ind w:left="111" w:right="110"/>
        <w:jc w:val="both"/>
        <w:rPr>
          <w:sz w:val="17"/>
          <w:szCs w:val="17"/>
        </w:rPr>
      </w:pPr>
      <w:r w:rsidRPr="00C04269">
        <w:rPr>
          <w:sz w:val="17"/>
          <w:szCs w:val="17"/>
        </w:rPr>
        <w:t>Esses novos agentes estão emergindo como potencialmente eficazes. Em estudos farmacêuticos em andamento, o aprepitanto parece ser seguro e ter eficácia semelhante à ondansetrona na prevenção da POV em adultos.</w:t>
      </w:r>
      <w:r w:rsidRPr="00C04269">
        <w:rPr>
          <w:sz w:val="17"/>
          <w:szCs w:val="17"/>
          <w:vertAlign w:val="superscript"/>
        </w:rPr>
        <w:t>16</w:t>
      </w:r>
      <w:r w:rsidRPr="00C04269">
        <w:rPr>
          <w:sz w:val="17"/>
          <w:szCs w:val="17"/>
        </w:rPr>
        <w:t xml:space="preserve"> Está também em curso um ensaio clínico em doentes pediátricos.</w:t>
      </w:r>
      <w:r w:rsidRPr="00C04269">
        <w:rPr>
          <w:sz w:val="17"/>
          <w:szCs w:val="17"/>
          <w:vertAlign w:val="superscript"/>
        </w:rPr>
        <w:t>17</w:t>
      </w:r>
      <w:r w:rsidRPr="00C04269">
        <w:rPr>
          <w:sz w:val="17"/>
          <w:szCs w:val="17"/>
        </w:rPr>
        <w:t xml:space="preserve"> Fosaprepitant é o pró-fármaco intravenoso do aprepitant.</w:t>
      </w:r>
      <w:r w:rsidRPr="00C04269">
        <w:rPr>
          <w:sz w:val="17"/>
          <w:szCs w:val="17"/>
          <w:vertAlign w:val="superscript"/>
        </w:rPr>
        <w:t>18</w:t>
      </w:r>
    </w:p>
    <w:p w14:paraId="2ECB22FB" w14:textId="77777777" w:rsidR="00867206" w:rsidRPr="00C04269" w:rsidRDefault="00000000">
      <w:pPr>
        <w:pStyle w:val="P68B1DB1-BodyText3"/>
        <w:spacing w:before="120" w:line="256" w:lineRule="auto"/>
        <w:ind w:left="112" w:right="111"/>
        <w:jc w:val="both"/>
        <w:rPr>
          <w:sz w:val="17"/>
          <w:szCs w:val="17"/>
        </w:rPr>
      </w:pPr>
      <w:r w:rsidRPr="00C04269">
        <w:rPr>
          <w:sz w:val="17"/>
          <w:szCs w:val="17"/>
        </w:rPr>
        <w:t>O aprepitante atua como um antagonista central do receptor NK1 para prevenir a ligação da substância P a esses receptores e os efeitos eméticos resultantes.</w:t>
      </w:r>
      <w:r w:rsidRPr="00C04269">
        <w:rPr>
          <w:sz w:val="17"/>
          <w:szCs w:val="17"/>
          <w:vertAlign w:val="superscript"/>
        </w:rPr>
        <w:t>18</w:t>
      </w:r>
    </w:p>
    <w:p w14:paraId="2ECB22FC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21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Dose: 3 mg/kg até 125 mg</w:t>
      </w:r>
      <w:r w:rsidRPr="00C04269">
        <w:rPr>
          <w:sz w:val="17"/>
          <w:szCs w:val="17"/>
          <w:vertAlign w:val="superscript"/>
        </w:rPr>
        <w:t>4</w:t>
      </w:r>
    </w:p>
    <w:p w14:paraId="2ECB22FD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5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Efeitos colaterais: fadiga, dor de cabeça, apetite reduzido, constipação, dispepsia, soluços, rubor</w:t>
      </w:r>
      <w:r w:rsidRPr="00C04269">
        <w:rPr>
          <w:sz w:val="17"/>
          <w:szCs w:val="17"/>
          <w:vertAlign w:val="superscript"/>
        </w:rPr>
        <w:t xml:space="preserve"> 12</w:t>
      </w:r>
    </w:p>
    <w:p w14:paraId="2ECB22FE" w14:textId="77777777" w:rsidR="00867206" w:rsidRDefault="00867206">
      <w:pPr>
        <w:pStyle w:val="Corpodetexto"/>
        <w:spacing w:before="5"/>
        <w:rPr>
          <w:sz w:val="22"/>
        </w:rPr>
      </w:pPr>
    </w:p>
    <w:p w14:paraId="2ECB22FF" w14:textId="77777777" w:rsidR="00867206" w:rsidRDefault="00000000">
      <w:pPr>
        <w:pStyle w:val="P68B1DB1-Heading213"/>
        <w:jc w:val="both"/>
      </w:pPr>
      <w:r>
        <w:t>Corticosteroides: Dexametasona</w:t>
      </w:r>
    </w:p>
    <w:p w14:paraId="2ECB2300" w14:textId="77777777" w:rsidR="00867206" w:rsidRPr="00C04269" w:rsidRDefault="00000000">
      <w:pPr>
        <w:pStyle w:val="P68B1DB1-BodyText3"/>
        <w:spacing w:before="123" w:line="256" w:lineRule="auto"/>
        <w:ind w:left="112" w:right="110"/>
        <w:jc w:val="both"/>
        <w:rPr>
          <w:sz w:val="17"/>
          <w:szCs w:val="17"/>
        </w:rPr>
      </w:pPr>
      <w:r w:rsidRPr="00C04269">
        <w:rPr>
          <w:sz w:val="17"/>
          <w:szCs w:val="17"/>
        </w:rPr>
        <w:t>Vários estudos demonstraram que a dexametasona reduz o POV pediátrico em comparação com o placebo, com um baixo perfil de efeitos secundários.</w:t>
      </w:r>
      <w:r w:rsidRPr="00C04269">
        <w:rPr>
          <w:sz w:val="17"/>
          <w:szCs w:val="17"/>
          <w:vertAlign w:val="superscript"/>
        </w:rPr>
        <w:t>4,5</w:t>
      </w:r>
      <w:r w:rsidRPr="00C04269">
        <w:rPr>
          <w:sz w:val="17"/>
          <w:szCs w:val="17"/>
        </w:rPr>
        <w:t xml:space="preserve"> Os mecanismos de ação sugeridos são a redução das prostaglandinas ou a liberação de 5-HT.</w:t>
      </w:r>
      <w:r w:rsidRPr="00C04269">
        <w:rPr>
          <w:sz w:val="17"/>
          <w:szCs w:val="17"/>
          <w:vertAlign w:val="superscript"/>
        </w:rPr>
        <w:t>19</w:t>
      </w:r>
    </w:p>
    <w:p w14:paraId="2ECB2301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20"/>
        <w:ind w:right="0"/>
        <w:rPr>
          <w:sz w:val="17"/>
          <w:szCs w:val="17"/>
        </w:rPr>
      </w:pPr>
      <w:r w:rsidRPr="00C04269">
        <w:rPr>
          <w:sz w:val="17"/>
          <w:szCs w:val="17"/>
        </w:rPr>
        <w:t>Dose: 0,15 mg/kg até 6,6 mg</w:t>
      </w:r>
    </w:p>
    <w:p w14:paraId="2ECB2302" w14:textId="77777777" w:rsidR="00867206" w:rsidRPr="00C04269" w:rsidRDefault="00000000">
      <w:pPr>
        <w:pStyle w:val="P68B1DB1-ListParagraph11"/>
        <w:numPr>
          <w:ilvl w:val="0"/>
          <w:numId w:val="2"/>
        </w:numPr>
        <w:tabs>
          <w:tab w:val="left" w:pos="272"/>
        </w:tabs>
        <w:spacing w:before="16" w:line="256" w:lineRule="auto"/>
        <w:rPr>
          <w:sz w:val="17"/>
          <w:szCs w:val="17"/>
        </w:rPr>
      </w:pPr>
      <w:r w:rsidRPr="00C04269">
        <w:rPr>
          <w:sz w:val="17"/>
          <w:szCs w:val="17"/>
        </w:rPr>
        <w:t>Efeitos colaterais: administrado acordado, pode causar calor perineal. Outros efeitos adversos incluem hiperglicemia, perturbação do humor e tromboembolismo. A dexametasona pode precipitar a síndrome de lise tumoral em doentes com tumores grandes e de alto grau (por exemplo, linfoma ou leucemia).</w:t>
      </w:r>
      <w:r w:rsidRPr="00C04269">
        <w:rPr>
          <w:sz w:val="17"/>
          <w:szCs w:val="17"/>
          <w:vertAlign w:val="superscript"/>
        </w:rPr>
        <w:t>5</w:t>
      </w:r>
    </w:p>
    <w:p w14:paraId="2ECB2303" w14:textId="77777777" w:rsidR="00867206" w:rsidRDefault="00867206">
      <w:pPr>
        <w:pStyle w:val="Corpodetexto"/>
        <w:spacing w:before="1"/>
        <w:rPr>
          <w:sz w:val="21"/>
        </w:rPr>
      </w:pPr>
    </w:p>
    <w:p w14:paraId="2ECB2304" w14:textId="77777777" w:rsidR="00867206" w:rsidRDefault="00000000">
      <w:pPr>
        <w:pStyle w:val="P68B1DB1-Heading213"/>
        <w:jc w:val="both"/>
      </w:pPr>
      <w:r>
        <w:t>Terapias de Combinação</w:t>
      </w:r>
    </w:p>
    <w:p w14:paraId="2ECB2305" w14:textId="77777777" w:rsidR="00867206" w:rsidRDefault="00000000">
      <w:pPr>
        <w:pStyle w:val="P68B1DB1-BodyText3"/>
        <w:spacing w:before="123" w:line="256" w:lineRule="auto"/>
        <w:ind w:left="112" w:right="110"/>
        <w:jc w:val="both"/>
      </w:pPr>
      <w:r>
        <w:t>Usados em combinação, esses agentes podem ter efeitos sinérgicos. Evidências mostram que a ondansetrona e a dexametasona usadas em conjunto são mais eficazes na redução da POV pediátrica do que qualquer um dos agentes isoladamente e que a ondansetrona e o droperidol em combinação são mais eficazes do que a ondansetrona isoladamente.</w:t>
      </w:r>
      <w:r>
        <w:rPr>
          <w:vertAlign w:val="superscript"/>
        </w:rPr>
        <w:t>5</w:t>
      </w:r>
    </w:p>
    <w:p w14:paraId="2ECB2306" w14:textId="77777777" w:rsidR="00867206" w:rsidRDefault="00867206">
      <w:pPr>
        <w:spacing w:line="256" w:lineRule="auto"/>
        <w:jc w:val="both"/>
        <w:sectPr w:rsidR="00867206">
          <w:pgSz w:w="12240" w:h="15840"/>
          <w:pgMar w:top="960" w:right="1040" w:bottom="1160" w:left="1040" w:header="0" w:footer="962" w:gutter="0"/>
          <w:cols w:space="720"/>
        </w:sectPr>
      </w:pPr>
    </w:p>
    <w:p w14:paraId="1D36E572" w14:textId="77777777" w:rsidR="00867206" w:rsidRDefault="00000000">
      <w:pPr>
        <w:pStyle w:val="P68B1DB1-Normal2"/>
        <w:rPr>
          <w:sz w:val="24"/>
        </w:rPr>
      </w:pPr>
      <w:r>
        <w:lastRenderedPageBreak/>
        <w:br w:type="page"/>
      </w:r>
    </w:p>
    <w:p w14:paraId="2ECB2307" w14:textId="18FF8250" w:rsidR="00867206" w:rsidRDefault="00000000">
      <w:pPr>
        <w:pStyle w:val="P68B1DB1-Heading16"/>
        <w:spacing w:before="39"/>
      </w:pPr>
      <w:r>
        <w:lastRenderedPageBreak/>
        <w:t>USO NÃO FARMACOLÓGICO</w:t>
      </w:r>
    </w:p>
    <w:p w14:paraId="2ECB2308" w14:textId="77777777" w:rsidR="00867206" w:rsidRDefault="00000000">
      <w:pPr>
        <w:pStyle w:val="P68B1DB1-Heading213"/>
        <w:spacing w:before="123"/>
      </w:pPr>
      <w:r>
        <w:t>Acustimulação (incluindo Acupressão e Acupuntura)</w:t>
      </w:r>
    </w:p>
    <w:p w14:paraId="2ECB2309" w14:textId="77777777" w:rsidR="00867206" w:rsidRDefault="00000000">
      <w:pPr>
        <w:pStyle w:val="P68B1DB1-BodyText3"/>
        <w:spacing w:before="118" w:line="254" w:lineRule="auto"/>
        <w:ind w:left="111" w:right="110"/>
        <w:jc w:val="both"/>
      </w:pPr>
      <w:r>
        <w:t>Vários ensaios clínicos randomizados e meta-análises em crianças sugerem que a estimulação do ponto de acupuntura de várias modalidades em diferentes áreas (mas em particular o ponto de acupuntura do Pericárdio 6 [PC6]) é tão eficaz na redução do POV quanto a profilaxia com drogas antieméticas.</w:t>
      </w:r>
      <w:r>
        <w:rPr>
          <w:vertAlign w:val="superscript"/>
        </w:rPr>
        <w:t>5</w:t>
      </w:r>
      <w:r>
        <w:t xml:space="preserve"> O ponto PC6 situa-se entre os tendões dos músculos palmar longo e flexor radial do carpo, 4 cm proximal à prega do punho.</w:t>
      </w:r>
    </w:p>
    <w:p w14:paraId="2ECB230A" w14:textId="77777777" w:rsidR="00867206" w:rsidRDefault="00867206">
      <w:pPr>
        <w:pStyle w:val="Corpodetexto"/>
        <w:spacing w:before="1"/>
        <w:rPr>
          <w:sz w:val="21"/>
        </w:rPr>
      </w:pPr>
    </w:p>
    <w:p w14:paraId="2ECB230B" w14:textId="77777777" w:rsidR="00867206" w:rsidRDefault="00000000">
      <w:pPr>
        <w:pStyle w:val="P68B1DB1-Heading213"/>
      </w:pPr>
      <w:r>
        <w:t>Outros tratamentos não farmacológicos</w:t>
      </w:r>
    </w:p>
    <w:p w14:paraId="2ECB230C" w14:textId="77777777" w:rsidR="00867206" w:rsidRDefault="00000000">
      <w:pPr>
        <w:pStyle w:val="P68B1DB1-BodyText3"/>
        <w:spacing w:before="119"/>
        <w:ind w:left="112"/>
        <w:jc w:val="both"/>
      </w:pPr>
      <w:r>
        <w:t>Os usos de gengibre, goma de mascar e carregamento de carboidratos precisam de estudos mais válidos para reivindicar importância.</w:t>
      </w:r>
    </w:p>
    <w:p w14:paraId="2ECB230D" w14:textId="77777777" w:rsidR="00867206" w:rsidRDefault="00867206">
      <w:pPr>
        <w:pStyle w:val="Corpodetexto"/>
        <w:spacing w:before="2"/>
        <w:rPr>
          <w:sz w:val="22"/>
        </w:rPr>
      </w:pPr>
    </w:p>
    <w:p w14:paraId="6DE607D4" w14:textId="77777777" w:rsidR="00867206" w:rsidRDefault="00000000">
      <w:pPr>
        <w:pStyle w:val="P68B1DB1-Normal2"/>
        <w:rPr>
          <w:sz w:val="24"/>
        </w:rPr>
      </w:pPr>
      <w:r>
        <w:br w:type="page"/>
      </w:r>
    </w:p>
    <w:p w14:paraId="2ECB230E" w14:textId="151BFDD8" w:rsidR="00867206" w:rsidRDefault="00000000">
      <w:pPr>
        <w:pStyle w:val="P68B1DB1-Heading16"/>
      </w:pPr>
      <w:r>
        <w:lastRenderedPageBreak/>
        <w:t>EXEMPLOS DE ESTRATÉGIAS DE PREVENÇÃO E TRATAMENTO DE PDV</w:t>
      </w:r>
    </w:p>
    <w:p w14:paraId="2ECB230F" w14:textId="77777777" w:rsidR="00867206" w:rsidRDefault="00000000">
      <w:pPr>
        <w:pStyle w:val="P68B1DB1-BodyText3"/>
        <w:spacing w:before="120" w:line="254" w:lineRule="auto"/>
        <w:ind w:left="111" w:right="110"/>
        <w:jc w:val="both"/>
      </w:pPr>
      <w:r>
        <w:t>As recomendações de estratificação de risco e profilaxia de POV pediátrico de uma recente declaração</w:t>
      </w:r>
      <w:r>
        <w:rPr>
          <w:vertAlign w:val="superscript"/>
        </w:rPr>
        <w:t>4</w:t>
      </w:r>
      <w:r>
        <w:t xml:space="preserve"> de consenso dos EUA estão resumidas na Figura 3. Para a terapia de resgate de POV, recomenda-se que um agente alternativo de uma classe diferente seja adicionado (por exemplo, droperidol, dimenidrinato ou metoclopramida) ou considerar a acusestimulação.</w:t>
      </w:r>
    </w:p>
    <w:p w14:paraId="2ECB2310" w14:textId="77777777" w:rsidR="00867206" w:rsidRDefault="00000000">
      <w:pPr>
        <w:pStyle w:val="P68B1DB1-BodyText3"/>
        <w:spacing w:before="118" w:line="254" w:lineRule="auto"/>
        <w:ind w:left="112" w:right="110" w:hanging="1"/>
        <w:jc w:val="both"/>
      </w:pPr>
      <w:r>
        <w:t xml:space="preserve">As diretrizes </w:t>
      </w:r>
      <w:r>
        <w:rPr>
          <w:vertAlign w:val="superscript"/>
        </w:rPr>
        <w:t>5</w:t>
      </w:r>
      <w:r>
        <w:t xml:space="preserve"> do Reino  Unido categorizam o risco de POV de maneira ligeiramente diferente, mas sugerem regimes de profilaxia semelhantes com doses (ver Figura 4). Para a terapia de resgate, a ondansetrona é recomendada se ainda não tiver sido administrada; caso contrário, sugere-se um antiemético de uma classe diferente (por exemplo, dexametasona ou droperidol).</w:t>
      </w:r>
    </w:p>
    <w:p w14:paraId="2ECB2311" w14:textId="77777777" w:rsidR="00867206" w:rsidRDefault="00000000">
      <w:pPr>
        <w:pStyle w:val="Corpodetexto"/>
        <w:spacing w:before="10"/>
        <w:rPr>
          <w:sz w:val="22"/>
        </w:rPr>
      </w:pPr>
      <w:r>
        <w:pict w14:anchorId="2ECB2348">
          <v:shape id="docshape117" o:spid="_x0000_s2050" type="#_x0000_t202" alt="" style="position:absolute;margin-left:57.6pt;margin-top:14.4pt;width:496.8pt;height:159.95pt;z-index:-15721984;mso-wrap-style:square;mso-wrap-edited:f;mso-width-percent:0;mso-height-percent:0;mso-wrap-distance-left:0;mso-wrap-distance-right:0;mso-position-horizontal-relative:page;mso-width-percent:0;mso-height-percent:0;v-text-anchor:top" fillcolor="#dcddde" stroked="f">
            <v:textbox inset="0,0,0,0">
              <w:txbxContent>
                <w:p w14:paraId="2ECB2358" w14:textId="77777777" w:rsidR="00867206" w:rsidRDefault="00000000">
                  <w:pPr>
                    <w:pStyle w:val="P68B1DB1-Normal5"/>
                    <w:spacing w:before="143"/>
                    <w:ind w:left="179"/>
                    <w:rPr>
                      <w:color w:val="000000"/>
                    </w:rPr>
                  </w:pPr>
                  <w:r>
                    <w:t>RESUMO</w:t>
                  </w:r>
                </w:p>
                <w:p w14:paraId="2ECB2359" w14:textId="77777777" w:rsidR="00867206" w:rsidRDefault="00000000">
                  <w:pPr>
                    <w:pStyle w:val="P68B1DB1-BodyText3"/>
                    <w:spacing w:before="140" w:line="254" w:lineRule="auto"/>
                    <w:ind w:left="358" w:right="356"/>
                    <w:jc w:val="both"/>
                    <w:rPr>
                      <w:color w:val="000000"/>
                    </w:rPr>
                  </w:pPr>
                  <w:r>
                    <w:t>A NVPO em crianças é desagradável tanto para as crianças quanto para seus cuidadores e pode levar a complicações graves. Portanto, é importante prever quem está em risco e gerenciá-los de acordo. Este tutorial explorou a fisiologia do vômito, destacou fatores de risco predisponentes ao POV pediátrico e analisou a base de evidências para terapias antieméticas profiláticas farmacológicas e não farmacológicas. Existem várias diretrizes sobre como estratificar o risco e quais agentes específicos usar, exemplos dos quais são apresentados neste tutorial. Os temas comuns para a prevenção de POV em crianças de maior risco incluem uma combinação de um antagonista 5-HT3, como ondansetrona com dexametasona devido ao seu efeito sinérgico, juntamente com a consideração de tiva e/ou técnicas poupadoras de opiáceos. Há uma falta da pesquisa no POV pediatra especificamente, e identificar a náusea em umas crianças mais novas pode ser desafiante, adicionando uma complexidade mais adicional à edição. À medida que mais estudos são conduzidos e novas terapias (como antagonistas de 5-HT3 ainda não licenciados para crianças ou antagonistas de NK1) continuam a ser investigadas, as estratégias de manejo ideais também evoluirão.</w:t>
                  </w:r>
                </w:p>
              </w:txbxContent>
            </v:textbox>
            <w10:wrap type="topAndBottom" anchorx="page"/>
          </v:shape>
        </w:pict>
      </w:r>
    </w:p>
    <w:p w14:paraId="2ECB2312" w14:textId="77777777" w:rsidR="00867206" w:rsidRDefault="00867206">
      <w:pPr>
        <w:pStyle w:val="Corpodetexto"/>
        <w:rPr>
          <w:sz w:val="20"/>
        </w:rPr>
      </w:pPr>
    </w:p>
    <w:p w14:paraId="2ECB2313" w14:textId="77777777" w:rsidR="00867206" w:rsidRDefault="00867206">
      <w:pPr>
        <w:pStyle w:val="Corpodetexto"/>
        <w:rPr>
          <w:sz w:val="20"/>
        </w:rPr>
      </w:pPr>
    </w:p>
    <w:p w14:paraId="2ECB2314" w14:textId="77777777" w:rsidR="00867206" w:rsidRDefault="00000000">
      <w:pPr>
        <w:pStyle w:val="P68B1DB1-Heading16"/>
        <w:spacing w:before="188"/>
      </w:pPr>
      <w:r>
        <w:t>REFERÊNCIAS</w:t>
      </w:r>
    </w:p>
    <w:p w14:paraId="2ECB2315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136" w:line="264" w:lineRule="auto"/>
        <w:jc w:val="both"/>
      </w:pPr>
      <w:proofErr w:type="spellStart"/>
      <w:r w:rsidRPr="00C04269">
        <w:rPr>
          <w:lang w:val="en-US"/>
        </w:rPr>
        <w:t>Aitkenhead</w:t>
      </w:r>
      <w:proofErr w:type="spellEnd"/>
      <w:r w:rsidRPr="00C04269">
        <w:rPr>
          <w:lang w:val="en-US"/>
        </w:rPr>
        <w:t xml:space="preserve"> AR, </w:t>
      </w:r>
      <w:proofErr w:type="spellStart"/>
      <w:r w:rsidRPr="00C04269">
        <w:rPr>
          <w:lang w:val="en-US"/>
        </w:rPr>
        <w:t>Moppett</w:t>
      </w:r>
      <w:proofErr w:type="spellEnd"/>
      <w:r w:rsidRPr="00C04269">
        <w:rPr>
          <w:lang w:val="en-US"/>
        </w:rPr>
        <w:t xml:space="preserve"> IK, Thompson JP. </w:t>
      </w:r>
      <w:r w:rsidRPr="00C04269">
        <w:rPr>
          <w:i/>
          <w:lang w:val="en-US"/>
        </w:rPr>
        <w:t xml:space="preserve">Smith and </w:t>
      </w:r>
      <w:proofErr w:type="spellStart"/>
      <w:r w:rsidRPr="00C04269">
        <w:rPr>
          <w:i/>
          <w:lang w:val="en-US"/>
        </w:rPr>
        <w:t>Aitkenhead</w:t>
      </w:r>
      <w:proofErr w:type="spellEnd"/>
      <w:r w:rsidRPr="00C04269">
        <w:rPr>
          <w:i/>
          <w:lang w:val="en-US"/>
        </w:rPr>
        <w:t xml:space="preserve"> 's Textbook of </w:t>
      </w:r>
      <w:proofErr w:type="spellStart"/>
      <w:r w:rsidRPr="00C04269">
        <w:rPr>
          <w:i/>
          <w:lang w:val="en-US"/>
        </w:rPr>
        <w:t>Anaesthesia</w:t>
      </w:r>
      <w:proofErr w:type="spellEnd"/>
      <w:r w:rsidRPr="00C04269">
        <w:rPr>
          <w:lang w:val="en-US"/>
        </w:rPr>
        <w:t xml:space="preserve">. </w:t>
      </w:r>
      <w:r>
        <w:t>6th ed. London, England: Churchill Livingstone Elsevier; 2013.</w:t>
      </w:r>
    </w:p>
    <w:p w14:paraId="2ECB2316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4" w:line="264" w:lineRule="auto"/>
        <w:jc w:val="both"/>
      </w:pPr>
      <w:r w:rsidRPr="00C04269">
        <w:rPr>
          <w:lang w:val="en-US"/>
        </w:rPr>
        <w:t xml:space="preserve">Rose JB, </w:t>
      </w:r>
      <w:proofErr w:type="spellStart"/>
      <w:r w:rsidRPr="00C04269">
        <w:rPr>
          <w:lang w:val="en-US"/>
        </w:rPr>
        <w:t>Watcha</w:t>
      </w:r>
      <w:proofErr w:type="spellEnd"/>
      <w:r w:rsidRPr="00C04269">
        <w:rPr>
          <w:lang w:val="en-US"/>
        </w:rPr>
        <w:t xml:space="preserve"> MF. Postoperative nausea and vomiting in </w:t>
      </w:r>
      <w:proofErr w:type="spellStart"/>
      <w:r w:rsidRPr="00C04269">
        <w:rPr>
          <w:lang w:val="en-US"/>
        </w:rPr>
        <w:t>paediatric</w:t>
      </w:r>
      <w:proofErr w:type="spellEnd"/>
      <w:r w:rsidRPr="00C04269">
        <w:rPr>
          <w:lang w:val="en-US"/>
        </w:rPr>
        <w:t xml:space="preserve"> patients. </w:t>
      </w:r>
      <w:r>
        <w:rPr>
          <w:i/>
        </w:rPr>
        <w:t xml:space="preserve">Br J </w:t>
      </w:r>
      <w:proofErr w:type="spellStart"/>
      <w:r>
        <w:rPr>
          <w:i/>
        </w:rPr>
        <w:t>Anaesth</w:t>
      </w:r>
      <w:proofErr w:type="spellEnd"/>
      <w:r>
        <w:t>. 1999;83(1):104-117. doi:10. 1093/bja/83.1.104</w:t>
      </w:r>
    </w:p>
    <w:p w14:paraId="2ECB2317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4" w:line="264" w:lineRule="auto"/>
        <w:jc w:val="both"/>
      </w:pPr>
      <w:r w:rsidRPr="00C04269">
        <w:rPr>
          <w:lang w:val="en-US"/>
        </w:rPr>
        <w:t xml:space="preserve">Pierre S, Whelan R. Nausea and vomiting after surgery. </w:t>
      </w:r>
      <w:r w:rsidRPr="00C04269">
        <w:rPr>
          <w:i/>
          <w:lang w:val="en-US"/>
        </w:rPr>
        <w:t xml:space="preserve">Contin Educ </w:t>
      </w:r>
      <w:proofErr w:type="spellStart"/>
      <w:r w:rsidRPr="00C04269">
        <w:rPr>
          <w:i/>
          <w:lang w:val="en-US"/>
        </w:rPr>
        <w:t>Anaesth</w:t>
      </w:r>
      <w:proofErr w:type="spellEnd"/>
      <w:r w:rsidRPr="00C04269">
        <w:rPr>
          <w:i/>
          <w:lang w:val="en-US"/>
        </w:rPr>
        <w:t xml:space="preserve"> Crit Care Pain</w:t>
      </w:r>
      <w:r w:rsidRPr="00C04269">
        <w:rPr>
          <w:lang w:val="en-US"/>
        </w:rPr>
        <w:t xml:space="preserve">. 2013;13(1):28-32. doi:10. </w:t>
      </w:r>
      <w:r>
        <w:t>1093/</w:t>
      </w:r>
      <w:proofErr w:type="spellStart"/>
      <w:r>
        <w:t>bjaceaccp</w:t>
      </w:r>
      <w:proofErr w:type="spellEnd"/>
      <w:r>
        <w:t>/mks046</w:t>
      </w:r>
    </w:p>
    <w:p w14:paraId="2ECB2318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4" w:line="264" w:lineRule="auto"/>
        <w:jc w:val="both"/>
      </w:pPr>
      <w:r w:rsidRPr="00C04269">
        <w:rPr>
          <w:lang w:val="en-US"/>
        </w:rPr>
        <w:t xml:space="preserve">Gan TJ, </w:t>
      </w:r>
      <w:proofErr w:type="spellStart"/>
      <w:r w:rsidRPr="00C04269">
        <w:rPr>
          <w:lang w:val="en-US"/>
        </w:rPr>
        <w:t>Belani</w:t>
      </w:r>
      <w:proofErr w:type="spellEnd"/>
      <w:r w:rsidRPr="00C04269">
        <w:rPr>
          <w:lang w:val="en-US"/>
        </w:rPr>
        <w:t xml:space="preserve"> KG, </w:t>
      </w:r>
      <w:proofErr w:type="spellStart"/>
      <w:r w:rsidRPr="00C04269">
        <w:rPr>
          <w:lang w:val="en-US"/>
        </w:rPr>
        <w:t>Bergese</w:t>
      </w:r>
      <w:proofErr w:type="spellEnd"/>
      <w:r w:rsidRPr="00C04269">
        <w:rPr>
          <w:lang w:val="en-US"/>
        </w:rPr>
        <w:t xml:space="preserve"> S, et al. Fourth consensus guidelines for the management of postoperative nausea and vomiting. </w:t>
      </w:r>
      <w:proofErr w:type="spellStart"/>
      <w:r>
        <w:rPr>
          <w:i/>
        </w:rPr>
        <w:t>Anest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Analg</w:t>
      </w:r>
      <w:proofErr w:type="spellEnd"/>
      <w:r>
        <w:t>. 2020;131(2):411-448. doi:10.1213/ANE.0000000000004833</w:t>
      </w:r>
    </w:p>
    <w:p w14:paraId="2ECB2319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3" w:line="264" w:lineRule="auto"/>
        <w:jc w:val="both"/>
      </w:pPr>
      <w:r w:rsidRPr="00C04269">
        <w:rPr>
          <w:lang w:val="en-US"/>
        </w:rPr>
        <w:t xml:space="preserve">Baines MS, Holtby H, </w:t>
      </w:r>
      <w:proofErr w:type="spellStart"/>
      <w:r w:rsidRPr="00C04269">
        <w:rPr>
          <w:lang w:val="en-US"/>
        </w:rPr>
        <w:t>Carr</w:t>
      </w:r>
      <w:proofErr w:type="spellEnd"/>
      <w:r w:rsidRPr="00C04269">
        <w:rPr>
          <w:lang w:val="en-US"/>
        </w:rPr>
        <w:t xml:space="preserve"> A; Association of </w:t>
      </w:r>
      <w:proofErr w:type="spellStart"/>
      <w:r w:rsidRPr="00C04269">
        <w:rPr>
          <w:lang w:val="en-US"/>
        </w:rPr>
        <w:t>Paediatric</w:t>
      </w:r>
      <w:proofErr w:type="spellEnd"/>
      <w:r w:rsidRPr="00C04269">
        <w:rPr>
          <w:lang w:val="en-US"/>
        </w:rPr>
        <w:t xml:space="preserve"> </w:t>
      </w:r>
      <w:proofErr w:type="spellStart"/>
      <w:r w:rsidRPr="00C04269">
        <w:rPr>
          <w:lang w:val="en-US"/>
        </w:rPr>
        <w:t>Anaesthetists</w:t>
      </w:r>
      <w:proofErr w:type="spellEnd"/>
      <w:r w:rsidRPr="00C04269">
        <w:rPr>
          <w:lang w:val="en-US"/>
        </w:rPr>
        <w:t xml:space="preserve"> of Great Britain &amp; Ireland. Guidelines on the prevention of post-operative vomiting in children. </w:t>
      </w:r>
      <w:r>
        <w:t xml:space="preserve">2016. Acessado em 18 de abril de </w:t>
      </w:r>
      <w:hyperlink r:id="rId65">
        <w:r>
          <w:t>2021.</w:t>
        </w:r>
      </w:hyperlink>
      <w:r>
        <w:t xml:space="preserve"> https://www.apagbi.org.uk/sites/default/ ﬁles/inline-ﬁles/2016%20APA%20POV%20Guideline-2.pdf</w:t>
      </w:r>
    </w:p>
    <w:p w14:paraId="2ECB231A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5" w:line="264" w:lineRule="auto"/>
        <w:jc w:val="both"/>
      </w:pPr>
      <w:r w:rsidRPr="00C04269">
        <w:rPr>
          <w:lang w:val="en-US"/>
        </w:rPr>
        <w:t xml:space="preserve">Mukherjee K, </w:t>
      </w:r>
      <w:proofErr w:type="spellStart"/>
      <w:r w:rsidRPr="00C04269">
        <w:rPr>
          <w:lang w:val="en-US"/>
        </w:rPr>
        <w:t>Esuvaranathan</w:t>
      </w:r>
      <w:proofErr w:type="spellEnd"/>
      <w:r w:rsidRPr="00C04269">
        <w:rPr>
          <w:lang w:val="en-US"/>
        </w:rPr>
        <w:t xml:space="preserve"> V, </w:t>
      </w:r>
      <w:proofErr w:type="spellStart"/>
      <w:r w:rsidRPr="00C04269">
        <w:rPr>
          <w:lang w:val="en-US"/>
        </w:rPr>
        <w:t>Ruas</w:t>
      </w:r>
      <w:proofErr w:type="spellEnd"/>
      <w:r w:rsidRPr="00C04269">
        <w:rPr>
          <w:lang w:val="en-US"/>
        </w:rPr>
        <w:t xml:space="preserve"> C, Johnson A, </w:t>
      </w:r>
      <w:proofErr w:type="spellStart"/>
      <w:r w:rsidRPr="00C04269">
        <w:rPr>
          <w:lang w:val="en-US"/>
        </w:rPr>
        <w:t>Carr</w:t>
      </w:r>
      <w:proofErr w:type="spellEnd"/>
      <w:r w:rsidRPr="00C04269">
        <w:rPr>
          <w:lang w:val="en-US"/>
        </w:rPr>
        <w:t xml:space="preserve"> AS. Adenotonsillectomy in children: a comparison of morphine and fentanyl for peri-operative analgesia. </w:t>
      </w:r>
      <w:proofErr w:type="spellStart"/>
      <w:r>
        <w:rPr>
          <w:i/>
        </w:rPr>
        <w:t>Anaesthesia</w:t>
      </w:r>
      <w:proofErr w:type="spellEnd"/>
      <w:r>
        <w:t>. 2001;56(12): 1193-1197. doi:10.1046/j.1365-2044.2001.02084-4.x</w:t>
      </w:r>
    </w:p>
    <w:p w14:paraId="2ECB231B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5" w:line="264" w:lineRule="auto"/>
        <w:ind w:right="109"/>
        <w:jc w:val="both"/>
      </w:pPr>
      <w:r w:rsidRPr="00C04269">
        <w:rPr>
          <w:lang w:val="en-US"/>
        </w:rPr>
        <w:t xml:space="preserve">Eberhart LHJ, </w:t>
      </w:r>
      <w:proofErr w:type="spellStart"/>
      <w:r w:rsidRPr="00C04269">
        <w:rPr>
          <w:lang w:val="en-US"/>
        </w:rPr>
        <w:t>Geldner</w:t>
      </w:r>
      <w:proofErr w:type="spellEnd"/>
      <w:r w:rsidRPr="00C04269">
        <w:rPr>
          <w:lang w:val="en-US"/>
        </w:rPr>
        <w:t xml:space="preserve"> G, </w:t>
      </w:r>
      <w:proofErr w:type="spellStart"/>
      <w:r w:rsidRPr="00C04269">
        <w:rPr>
          <w:lang w:val="en-US"/>
        </w:rPr>
        <w:t>Kranke</w:t>
      </w:r>
      <w:proofErr w:type="spellEnd"/>
      <w:r w:rsidRPr="00C04269">
        <w:rPr>
          <w:lang w:val="en-US"/>
        </w:rPr>
        <w:t xml:space="preserve"> P, Morin AM, </w:t>
      </w:r>
      <w:proofErr w:type="spellStart"/>
      <w:r w:rsidRPr="00C04269">
        <w:rPr>
          <w:lang w:val="en-US"/>
        </w:rPr>
        <w:t>Scha¨uffelen</w:t>
      </w:r>
      <w:proofErr w:type="spellEnd"/>
      <w:r w:rsidRPr="00C04269">
        <w:rPr>
          <w:lang w:val="en-US"/>
        </w:rPr>
        <w:t xml:space="preserve"> A, </w:t>
      </w:r>
      <w:proofErr w:type="spellStart"/>
      <w:r w:rsidRPr="00C04269">
        <w:rPr>
          <w:lang w:val="en-US"/>
        </w:rPr>
        <w:t>Treiber</w:t>
      </w:r>
      <w:proofErr w:type="spellEnd"/>
      <w:r w:rsidRPr="00C04269">
        <w:rPr>
          <w:lang w:val="en-US"/>
        </w:rPr>
        <w:t xml:space="preserve"> H, Wulf H. The development and validation of a risk score to predict the probability of postoperative vomiting in pediatric patients. </w:t>
      </w:r>
      <w:proofErr w:type="spellStart"/>
      <w:r>
        <w:rPr>
          <w:i/>
        </w:rPr>
        <w:t>Anest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Analg</w:t>
      </w:r>
      <w:proofErr w:type="spellEnd"/>
      <w:r>
        <w:t>. 2004;99(6):1630-1637. doi:10. 1213/01.ANE.0000135639.57715.6C</w:t>
      </w:r>
    </w:p>
    <w:p w14:paraId="2ECB231C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1" w:line="264" w:lineRule="auto"/>
        <w:jc w:val="both"/>
      </w:pPr>
      <w:proofErr w:type="spellStart"/>
      <w:r w:rsidRPr="00C04269">
        <w:rPr>
          <w:lang w:val="en-US"/>
        </w:rPr>
        <w:t>Frykholm</w:t>
      </w:r>
      <w:proofErr w:type="spellEnd"/>
      <w:r w:rsidRPr="00C04269">
        <w:rPr>
          <w:lang w:val="en-US"/>
        </w:rPr>
        <w:t xml:space="preserve"> P, </w:t>
      </w:r>
      <w:proofErr w:type="spellStart"/>
      <w:r w:rsidRPr="00C04269">
        <w:rPr>
          <w:lang w:val="en-US"/>
        </w:rPr>
        <w:t>Disma</w:t>
      </w:r>
      <w:proofErr w:type="spellEnd"/>
      <w:r w:rsidRPr="00C04269">
        <w:rPr>
          <w:lang w:val="en-US"/>
        </w:rPr>
        <w:t xml:space="preserve"> N, Andersson H, et al. Pre-operative fasting in children. </w:t>
      </w:r>
      <w:proofErr w:type="spellStart"/>
      <w:r>
        <w:rPr>
          <w:i/>
        </w:rPr>
        <w:t>Eur</w:t>
      </w:r>
      <w:proofErr w:type="spellEnd"/>
      <w:r>
        <w:rPr>
          <w:i/>
        </w:rPr>
        <w:t xml:space="preserve"> J </w:t>
      </w:r>
      <w:proofErr w:type="spellStart"/>
      <w:r>
        <w:rPr>
          <w:i/>
        </w:rPr>
        <w:t>Anaesthesiol</w:t>
      </w:r>
      <w:proofErr w:type="spellEnd"/>
      <w:r>
        <w:t>. 2022;39(1):4-25. doi:10. 1097/EJA.0000000000001599</w:t>
      </w:r>
    </w:p>
    <w:p w14:paraId="2ECB231D" w14:textId="77777777" w:rsidR="00867206" w:rsidRDefault="00867206">
      <w:pPr>
        <w:spacing w:line="264" w:lineRule="auto"/>
        <w:jc w:val="both"/>
        <w:rPr>
          <w:sz w:val="18"/>
        </w:rPr>
        <w:sectPr w:rsidR="00867206">
          <w:pgSz w:w="12240" w:h="15840"/>
          <w:pgMar w:top="960" w:right="1040" w:bottom="1160" w:left="1040" w:header="0" w:footer="962" w:gutter="0"/>
          <w:cols w:space="720"/>
        </w:sectPr>
      </w:pPr>
    </w:p>
    <w:p w14:paraId="2ECB231E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41"/>
        </w:tabs>
        <w:spacing w:before="53" w:line="254" w:lineRule="auto"/>
        <w:jc w:val="both"/>
      </w:pPr>
      <w:r w:rsidRPr="00C04269">
        <w:rPr>
          <w:lang w:val="en-US"/>
        </w:rPr>
        <w:lastRenderedPageBreak/>
        <w:t xml:space="preserve">Jun JH, Kim KN, Kim JY, Song SM. The effects of intranasal dexmedetomidine premedication in children: a systematic review and meta-analysis.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J </w:t>
      </w:r>
      <w:proofErr w:type="spellStart"/>
      <w:r>
        <w:rPr>
          <w:i/>
        </w:rPr>
        <w:t>Anaesth</w:t>
      </w:r>
      <w:proofErr w:type="spellEnd"/>
      <w:r>
        <w:t>. 2017;64(9):947-961. doi:10.1007/s12630-017-0917-x</w:t>
      </w:r>
    </w:p>
    <w:p w14:paraId="2ECB231F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r w:rsidRPr="00C04269">
        <w:rPr>
          <w:lang w:val="en-US"/>
        </w:rPr>
        <w:t xml:space="preserve">Alizadeh R, </w:t>
      </w:r>
      <w:proofErr w:type="spellStart"/>
      <w:r w:rsidRPr="00C04269">
        <w:rPr>
          <w:lang w:val="en-US"/>
        </w:rPr>
        <w:t>Mireskandari</w:t>
      </w:r>
      <w:proofErr w:type="spellEnd"/>
      <w:r w:rsidRPr="00C04269">
        <w:rPr>
          <w:lang w:val="en-US"/>
        </w:rPr>
        <w:t xml:space="preserve"> SM, </w:t>
      </w:r>
      <w:proofErr w:type="spellStart"/>
      <w:r w:rsidRPr="00C04269">
        <w:rPr>
          <w:lang w:val="en-US"/>
        </w:rPr>
        <w:t>Azarshahin</w:t>
      </w:r>
      <w:proofErr w:type="spellEnd"/>
      <w:r w:rsidRPr="00C04269">
        <w:rPr>
          <w:lang w:val="en-US"/>
        </w:rPr>
        <w:t xml:space="preserve"> M, et al. Oral clonidine premedication reduces nausea and vomiting in children after appendectomy. </w:t>
      </w:r>
      <w:r>
        <w:rPr>
          <w:i/>
        </w:rPr>
        <w:t xml:space="preserve">Iran J </w:t>
      </w:r>
      <w:proofErr w:type="spellStart"/>
      <w:r>
        <w:rPr>
          <w:i/>
        </w:rPr>
        <w:t>Pediatr</w:t>
      </w:r>
      <w:proofErr w:type="spellEnd"/>
      <w:r>
        <w:t>. 2012;22:399-403.</w:t>
      </w:r>
    </w:p>
    <w:p w14:paraId="2ECB2320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r w:rsidRPr="00C04269">
        <w:rPr>
          <w:lang w:val="en-US"/>
        </w:rPr>
        <w:t xml:space="preserve">Domino KB, Anderson EA, </w:t>
      </w:r>
      <w:proofErr w:type="spellStart"/>
      <w:r w:rsidRPr="00C04269">
        <w:rPr>
          <w:lang w:val="en-US"/>
        </w:rPr>
        <w:t>Polissar</w:t>
      </w:r>
      <w:proofErr w:type="spellEnd"/>
      <w:r w:rsidRPr="00C04269">
        <w:rPr>
          <w:lang w:val="en-US"/>
        </w:rPr>
        <w:t xml:space="preserve"> NL, Posner KL. Comparative </w:t>
      </w:r>
      <w:proofErr w:type="spellStart"/>
      <w:r w:rsidRPr="00C04269">
        <w:rPr>
          <w:lang w:val="en-US"/>
        </w:rPr>
        <w:t>ef</w:t>
      </w:r>
      <w:proofErr w:type="spellEnd"/>
      <w:r>
        <w:t>ﬁ</w:t>
      </w:r>
      <w:proofErr w:type="spellStart"/>
      <w:r w:rsidRPr="00C04269">
        <w:rPr>
          <w:lang w:val="en-US"/>
        </w:rPr>
        <w:t>cacy</w:t>
      </w:r>
      <w:proofErr w:type="spellEnd"/>
      <w:r w:rsidRPr="00C04269">
        <w:rPr>
          <w:lang w:val="en-US"/>
        </w:rPr>
        <w:t xml:space="preserve"> and safety of ondansetron, </w:t>
      </w:r>
      <w:proofErr w:type="spellStart"/>
      <w:r w:rsidRPr="00C04269">
        <w:rPr>
          <w:lang w:val="en-US"/>
        </w:rPr>
        <w:t>droperidol</w:t>
      </w:r>
      <w:proofErr w:type="spellEnd"/>
      <w:r w:rsidRPr="00C04269">
        <w:rPr>
          <w:lang w:val="en-US"/>
        </w:rPr>
        <w:t xml:space="preserve">, and metoclopramide for preventing postoperative nausea and vomiting: a meta-analysis. </w:t>
      </w:r>
      <w:proofErr w:type="spellStart"/>
      <w:r>
        <w:rPr>
          <w:i/>
        </w:rPr>
        <w:t>Anest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Analg</w:t>
      </w:r>
      <w:proofErr w:type="spellEnd"/>
      <w:r>
        <w:t>. 1999;88(6):1370-1379. doi:10.1097/00000539-199906000-00032</w:t>
      </w:r>
    </w:p>
    <w:p w14:paraId="2ECB2321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proofErr w:type="spellStart"/>
      <w:r w:rsidRPr="00C04269">
        <w:rPr>
          <w:lang w:val="en-US"/>
        </w:rPr>
        <w:t>Paediatric</w:t>
      </w:r>
      <w:proofErr w:type="spellEnd"/>
      <w:r w:rsidRPr="00C04269">
        <w:rPr>
          <w:lang w:val="en-US"/>
        </w:rPr>
        <w:t xml:space="preserve"> Formulary Committee. </w:t>
      </w:r>
      <w:r w:rsidRPr="00C04269">
        <w:rPr>
          <w:i/>
          <w:lang w:val="en-US"/>
        </w:rPr>
        <w:t xml:space="preserve">BNF for Children </w:t>
      </w:r>
      <w:r w:rsidRPr="00C04269">
        <w:rPr>
          <w:lang w:val="en-US"/>
        </w:rPr>
        <w:t xml:space="preserve">[online]. London, England: BMJ Group, Pharmaceutical Press, and RCPCH Publications. </w:t>
      </w:r>
      <w:r>
        <w:t xml:space="preserve">Acessado em 30 de março de 2022. </w:t>
      </w:r>
      <w:hyperlink r:id="rId66">
        <w:r>
          <w:t>http://www.medicinescomplete.com</w:t>
        </w:r>
      </w:hyperlink>
    </w:p>
    <w:p w14:paraId="2ECB2322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r w:rsidRPr="00C04269">
        <w:rPr>
          <w:lang w:val="en-US"/>
        </w:rPr>
        <w:t xml:space="preserve">European Medicines Agency. European Medicines Agency recommends changes to the use of metoclopramide. </w:t>
      </w:r>
      <w:r>
        <w:t xml:space="preserve">2013. Acessado em 9 de setembro de </w:t>
      </w:r>
      <w:hyperlink r:id="rId67">
        <w:r>
          <w:t>2021.</w:t>
        </w:r>
      </w:hyperlink>
      <w:r>
        <w:t xml:space="preserve"> https://www.ema.europa.eu/en/news/european-medicines-agency-recommends-changes-use-metoclopramide</w:t>
      </w:r>
    </w:p>
    <w:p w14:paraId="2ECB2323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proofErr w:type="spellStart"/>
      <w:r w:rsidRPr="00C04269">
        <w:rPr>
          <w:lang w:val="en-US"/>
        </w:rPr>
        <w:t>Pergolizzi</w:t>
      </w:r>
      <w:proofErr w:type="spellEnd"/>
      <w:r w:rsidRPr="00C04269">
        <w:rPr>
          <w:lang w:val="en-US"/>
        </w:rPr>
        <w:t xml:space="preserve"> JV, Raffa R, Taylor R. Prophylaxis of postoperative nausea and vomiting in adolescent patients: a review with emphasis on combination of </w:t>
      </w:r>
      <w:r>
        <w:t>ﬁ</w:t>
      </w:r>
      <w:proofErr w:type="spellStart"/>
      <w:r w:rsidRPr="00C04269">
        <w:rPr>
          <w:lang w:val="en-US"/>
        </w:rPr>
        <w:t>xed</w:t>
      </w:r>
      <w:proofErr w:type="spellEnd"/>
      <w:r w:rsidRPr="00C04269">
        <w:rPr>
          <w:lang w:val="en-US"/>
        </w:rPr>
        <w:t xml:space="preserve">-dose ondansetron and transdermal scopolamine. </w:t>
      </w:r>
      <w:r>
        <w:rPr>
          <w:i/>
        </w:rPr>
        <w:t xml:space="preserve">J </w:t>
      </w:r>
      <w:proofErr w:type="spellStart"/>
      <w:r>
        <w:rPr>
          <w:i/>
        </w:rPr>
        <w:t>Drug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Deliv</w:t>
      </w:r>
      <w:proofErr w:type="spellEnd"/>
      <w:r>
        <w:t>. 2011;2011:426813. doi:10.1155/2011/426813</w:t>
      </w:r>
    </w:p>
    <w:p w14:paraId="2ECB2324" w14:textId="77777777" w:rsidR="00867206" w:rsidRPr="00C04269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06" w:lineRule="exact"/>
        <w:ind w:left="449" w:right="0" w:hanging="339"/>
        <w:jc w:val="both"/>
        <w:rPr>
          <w:lang w:val="en-US"/>
        </w:rPr>
      </w:pPr>
      <w:r w:rsidRPr="00C04269">
        <w:rPr>
          <w:lang w:val="en-US"/>
        </w:rPr>
        <w:t>Kassel L, Nelson M, Shine J, Jones LR, Kassel C. Scopolamine use in the perioperative patient: a systematic review.</w:t>
      </w:r>
    </w:p>
    <w:p w14:paraId="2ECB2325" w14:textId="77777777" w:rsidR="00867206" w:rsidRDefault="00000000">
      <w:pPr>
        <w:pStyle w:val="P68B1DB1-BodyText3"/>
        <w:spacing w:before="9"/>
        <w:ind w:left="449"/>
        <w:jc w:val="both"/>
      </w:pPr>
      <w:r>
        <w:rPr>
          <w:i/>
        </w:rPr>
        <w:t>AORN J</w:t>
      </w:r>
      <w:r>
        <w:t>. 2018;108(3):287-295. doi:10.1002/aorn.12336</w:t>
      </w:r>
    </w:p>
    <w:p w14:paraId="2ECB2326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before="13" w:line="254" w:lineRule="auto"/>
        <w:ind w:left="449" w:hanging="338"/>
        <w:jc w:val="both"/>
      </w:pPr>
      <w:r w:rsidRPr="00C04269">
        <w:rPr>
          <w:lang w:val="en-US"/>
        </w:rPr>
        <w:t xml:space="preserve">Salman FT, </w:t>
      </w:r>
      <w:proofErr w:type="spellStart"/>
      <w:r w:rsidRPr="00C04269">
        <w:rPr>
          <w:lang w:val="en-US"/>
        </w:rPr>
        <w:t>DiCristina</w:t>
      </w:r>
      <w:proofErr w:type="spellEnd"/>
      <w:r w:rsidRPr="00C04269">
        <w:rPr>
          <w:lang w:val="en-US"/>
        </w:rPr>
        <w:t xml:space="preserve"> C, Chain A, Afzal AS. </w:t>
      </w:r>
      <w:proofErr w:type="gramStart"/>
      <w:r w:rsidRPr="00C04269">
        <w:rPr>
          <w:lang w:val="en-US"/>
        </w:rPr>
        <w:t>Pharmacokinetics</w:t>
      </w:r>
      <w:proofErr w:type="gramEnd"/>
      <w:r w:rsidRPr="00C04269">
        <w:rPr>
          <w:lang w:val="en-US"/>
        </w:rPr>
        <w:t xml:space="preserve"> and pharmacodynamics of </w:t>
      </w:r>
      <w:proofErr w:type="spellStart"/>
      <w:r w:rsidRPr="00C04269">
        <w:rPr>
          <w:lang w:val="en-US"/>
        </w:rPr>
        <w:t>aprepitant</w:t>
      </w:r>
      <w:proofErr w:type="spellEnd"/>
      <w:r w:rsidRPr="00C04269">
        <w:rPr>
          <w:lang w:val="en-US"/>
        </w:rPr>
        <w:t xml:space="preserve"> for the prevention of postoperative nausea and vomiting in pediatric subjects. </w:t>
      </w:r>
      <w:r>
        <w:rPr>
          <w:i/>
        </w:rPr>
        <w:t xml:space="preserve">J </w:t>
      </w:r>
      <w:proofErr w:type="spellStart"/>
      <w:r>
        <w:rPr>
          <w:i/>
        </w:rPr>
        <w:t>Pediatr</w:t>
      </w:r>
      <w:proofErr w:type="spellEnd"/>
      <w:r>
        <w:t xml:space="preserve"> Surg.2019;54(7):1384-1390. doi:10.1016/j.jpedsurg. 2018.09.006</w:t>
      </w:r>
    </w:p>
    <w:p w14:paraId="2ECB2327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r w:rsidRPr="00C04269">
        <w:rPr>
          <w:lang w:val="en-US"/>
        </w:rPr>
        <w:t xml:space="preserve">National Institutes of Health, US National Library of Medicine. </w:t>
      </w:r>
      <w:r>
        <w:t>Clinicaltrials.gov. Acessado em 1 de maio de 2022. https://clinicaltrials. gov/ct2/show/study/NCT00819039</w:t>
      </w:r>
    </w:p>
    <w:p w14:paraId="2ECB2328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hanging="338"/>
        <w:jc w:val="both"/>
      </w:pPr>
      <w:r w:rsidRPr="00C04269">
        <w:rPr>
          <w:lang w:val="en-US"/>
        </w:rPr>
        <w:t xml:space="preserve">Langford P, </w:t>
      </w:r>
      <w:proofErr w:type="spellStart"/>
      <w:r w:rsidRPr="00C04269">
        <w:rPr>
          <w:lang w:val="en-US"/>
        </w:rPr>
        <w:t>Chrisp</w:t>
      </w:r>
      <w:proofErr w:type="spellEnd"/>
      <w:r w:rsidRPr="00C04269">
        <w:rPr>
          <w:lang w:val="en-US"/>
        </w:rPr>
        <w:t xml:space="preserve"> P. </w:t>
      </w:r>
      <w:proofErr w:type="spellStart"/>
      <w:r w:rsidRPr="00C04269">
        <w:rPr>
          <w:lang w:val="en-US"/>
        </w:rPr>
        <w:t>Fosaprepitant</w:t>
      </w:r>
      <w:proofErr w:type="spellEnd"/>
      <w:r w:rsidRPr="00C04269">
        <w:rPr>
          <w:lang w:val="en-US"/>
        </w:rPr>
        <w:t xml:space="preserve"> and </w:t>
      </w:r>
      <w:proofErr w:type="spellStart"/>
      <w:r w:rsidRPr="00C04269">
        <w:rPr>
          <w:lang w:val="en-US"/>
        </w:rPr>
        <w:t>aprepitant</w:t>
      </w:r>
      <w:proofErr w:type="spellEnd"/>
      <w:r w:rsidRPr="00C04269">
        <w:rPr>
          <w:lang w:val="en-US"/>
        </w:rPr>
        <w:t xml:space="preserve">: an update of the evidence for their place in the prevention of chemotherapy-induced nausea and vomiting. </w:t>
      </w:r>
      <w:r>
        <w:rPr>
          <w:i/>
        </w:rPr>
        <w:t xml:space="preserve">Core </w:t>
      </w:r>
      <w:proofErr w:type="spellStart"/>
      <w:r>
        <w:rPr>
          <w:i/>
        </w:rPr>
        <w:t>Evid</w:t>
      </w:r>
      <w:proofErr w:type="spellEnd"/>
      <w:r>
        <w:t>. 2010;5:77-90. doi:10.2147/ce.s6012</w:t>
      </w:r>
    </w:p>
    <w:p w14:paraId="2ECB2329" w14:textId="77777777" w:rsidR="00867206" w:rsidRDefault="00000000">
      <w:pPr>
        <w:pStyle w:val="P68B1DB1-ListParagraph11"/>
        <w:numPr>
          <w:ilvl w:val="0"/>
          <w:numId w:val="1"/>
        </w:numPr>
        <w:tabs>
          <w:tab w:val="left" w:pos="450"/>
        </w:tabs>
        <w:spacing w:line="254" w:lineRule="auto"/>
        <w:ind w:left="449" w:right="109" w:hanging="338"/>
        <w:jc w:val="both"/>
      </w:pPr>
      <w:proofErr w:type="spellStart"/>
      <w:r w:rsidRPr="00C04269">
        <w:rPr>
          <w:lang w:val="en-US"/>
        </w:rPr>
        <w:t>Kakodkar</w:t>
      </w:r>
      <w:proofErr w:type="spellEnd"/>
      <w:r w:rsidRPr="00C04269">
        <w:rPr>
          <w:lang w:val="en-US"/>
        </w:rPr>
        <w:t xml:space="preserve"> PS. Routine use of dexamethasone for postoperative nausea and vomiting: the case for. </w:t>
      </w:r>
      <w:proofErr w:type="spellStart"/>
      <w:r>
        <w:rPr>
          <w:i/>
        </w:rPr>
        <w:t>Anaesthesia</w:t>
      </w:r>
      <w:proofErr w:type="spellEnd"/>
      <w:r>
        <w:t>. 2013;68(9):889-891. doi:10.1111/anae.12308</w:t>
      </w:r>
    </w:p>
    <w:p w14:paraId="2ECB232A" w14:textId="77777777" w:rsidR="00867206" w:rsidRDefault="00867206">
      <w:pPr>
        <w:pStyle w:val="Corpodetexto"/>
        <w:rPr>
          <w:sz w:val="20"/>
        </w:rPr>
      </w:pPr>
    </w:p>
    <w:p w14:paraId="2ECB232B" w14:textId="77777777" w:rsidR="00867206" w:rsidRDefault="00867206">
      <w:pPr>
        <w:pStyle w:val="Corpodetexto"/>
        <w:spacing w:before="6"/>
        <w:rPr>
          <w:sz w:val="19"/>
        </w:rPr>
      </w:pPr>
    </w:p>
    <w:p w14:paraId="2ECB232C" w14:textId="77777777" w:rsidR="00867206" w:rsidRDefault="00000000">
      <w:pPr>
        <w:spacing w:line="259" w:lineRule="auto"/>
        <w:ind w:left="1267" w:firstLine="3"/>
        <w:rPr>
          <w:sz w:val="16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2ECB2349" wp14:editId="2ECB234A">
            <wp:simplePos x="0" y="0"/>
            <wp:positionH relativeFrom="page">
              <wp:posOffset>731519</wp:posOffset>
            </wp:positionH>
            <wp:positionV relativeFrom="paragraph">
              <wp:posOffset>-6134</wp:posOffset>
            </wp:positionV>
            <wp:extent cx="648792" cy="227075"/>
            <wp:effectExtent l="0" t="0" r="0" b="0"/>
            <wp:wrapNone/>
            <wp:docPr id="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92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6"/>
        </w:rPr>
        <w:t>Este trabalho está licenciado sob a Licença Internacional Creative Commons Atribuição 4.0. Para visualizar esta licença, visite https://creativecommons.org/licenses/by-nc-nd/4.0/</w:t>
      </w:r>
    </w:p>
    <w:p w14:paraId="2ECB232D" w14:textId="77777777" w:rsidR="00867206" w:rsidRDefault="00867206">
      <w:pPr>
        <w:pStyle w:val="Corpodetexto"/>
        <w:spacing w:before="10"/>
        <w:rPr>
          <w:sz w:val="10"/>
        </w:rPr>
      </w:pPr>
    </w:p>
    <w:p w14:paraId="2ECB232E" w14:textId="77777777" w:rsidR="00867206" w:rsidRDefault="00000000">
      <w:pPr>
        <w:pStyle w:val="P68B1DB1-Normal10"/>
        <w:spacing w:before="75"/>
        <w:ind w:left="111"/>
        <w:jc w:val="both"/>
      </w:pPr>
      <w:r>
        <w:t>Isenção de responsabilidade da WFSA</w:t>
      </w:r>
    </w:p>
    <w:p w14:paraId="2ECB232F" w14:textId="77777777" w:rsidR="00867206" w:rsidRDefault="00000000">
      <w:pPr>
        <w:pStyle w:val="P68B1DB1-Normal10"/>
        <w:spacing w:before="16" w:line="259" w:lineRule="auto"/>
        <w:ind w:left="111" w:right="109"/>
        <w:jc w:val="both"/>
      </w:pPr>
      <w:r>
        <w:t>O material e o conteúdo fornecidos foram estabelecidos de boa fé apenas para fins informativos e educacionais e não se destinam a substituir o envolvimento ativo e o julgamento do pessoal médico e técnico profissional apropriado. Nem nós, nem os autores, nem outras partes envolvidas em sua produção fazemos quaisquer representações ou damos quaisquer garantias com relação à sua precisão, aplicabilidade ou integridade, nem qualquer responsabilidade é aceita por quaisquer efeitos adversos decorrentes de sua leitura ou visualização deste material e conteúdo. Toda e qualquer responsabilidade direta ou indiretamente decorrente do uso deste material e conteúdo é renunciada sem reservas.</w:t>
      </w:r>
    </w:p>
    <w:sectPr w:rsidR="00867206">
      <w:pgSz w:w="12240" w:h="15840"/>
      <w:pgMar w:top="960" w:right="1040" w:bottom="1160" w:left="104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6FE9" w14:textId="77777777" w:rsidR="00EB7D83" w:rsidRDefault="00EB7D83">
      <w:r>
        <w:separator/>
      </w:r>
    </w:p>
  </w:endnote>
  <w:endnote w:type="continuationSeparator" w:id="0">
    <w:p w14:paraId="05BA72DE" w14:textId="77777777" w:rsidR="00EB7D83" w:rsidRDefault="00EB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234B" w14:textId="77777777" w:rsidR="00867206" w:rsidRDefault="00000000">
    <w:pPr>
      <w:pStyle w:val="Corpodetexto"/>
      <w:spacing w:line="14" w:lineRule="auto"/>
      <w:rPr>
        <w:sz w:val="20"/>
      </w:rPr>
    </w:pPr>
    <w:r>
      <w:pict w14:anchorId="2ECB234C">
        <v:rect id="docshape1" o:spid="_x0000_s1027" alt="" style="position:absolute;margin-left:57.35pt;margin-top:733.9pt;width:496.8pt;height:.5pt;z-index:-16020480;mso-wrap-edited:f;mso-width-percent:0;mso-height-percent:0;mso-position-horizontal-relative:page;mso-position-vertical-relative:page;mso-width-percent:0;mso-height-percent:0" fillcolor="black" stroked="f">
          <w10:wrap anchorx="page" anchory="page"/>
        </v:rect>
      </w:pict>
    </w:r>
    <w:r>
      <w:pict w14:anchorId="2ECB234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alt="" style="position:absolute;margin-left:56.35pt;margin-top:742.4pt;width:447.95pt;height:22.55pt;z-index:-16019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CB235A" w14:textId="77777777" w:rsidR="00867206" w:rsidRDefault="00000000">
                <w:pPr>
                  <w:pStyle w:val="P68B1DB1-Normal16"/>
                  <w:spacing w:line="179" w:lineRule="exact"/>
                  <w:ind w:left="1038"/>
                </w:pPr>
                <w:r>
                  <w:rPr>
                    <w:color w:val="231F20"/>
                  </w:rPr>
                  <w:t xml:space="preserve">Assine os tutoriais da ATOTW visitando </w:t>
                </w:r>
                <w:hyperlink r:id="rId1">
                  <w:r>
                    <w:rPr>
                      <w:color w:val="0000FF"/>
                      <w:u w:val="single" w:color="0000FF"/>
                    </w:rPr>
                    <w:t>https://resources.wfsahq.org/anaesthesia-tutorial-of-the-week/</w:t>
                  </w:r>
                </w:hyperlink>
              </w:p>
              <w:p w14:paraId="2ECB235B" w14:textId="77777777" w:rsidR="00867206" w:rsidRDefault="00000000">
                <w:pPr>
                  <w:pStyle w:val="P68B1DB1-Normal17"/>
                  <w:spacing w:before="77"/>
                  <w:ind w:left="20"/>
                </w:pPr>
                <w:hyperlink r:id="rId2">
                  <w:r>
                    <w:t>ATOTW 479 — Vômito Pós-operatório Pediátrico (30 de agosto de 2022)</w:t>
                  </w:r>
                </w:hyperlink>
              </w:p>
            </w:txbxContent>
          </v:textbox>
          <w10:wrap anchorx="page" anchory="page"/>
        </v:shape>
      </w:pict>
    </w:r>
    <w:r>
      <w:pict w14:anchorId="2ECB234E">
        <v:shape id="docshape3" o:spid="_x0000_s1025" type="#_x0000_t202" alt="" style="position:absolute;margin-left:512.25pt;margin-top:755.1pt;width:42.95pt;height:9.8pt;z-index:-160194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CB235C" w14:textId="2F105FEC" w:rsidR="00867206" w:rsidRDefault="00000000">
                <w:pPr>
                  <w:pStyle w:val="P68B1DB1-Normal17"/>
                  <w:spacing w:before="1"/>
                  <w:ind w:left="20"/>
                </w:pPr>
                <w:hyperlink r:id="rId3">
                  <w:r>
                    <w:t xml:space="preserve">Página </w:t>
                  </w: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 w:rsidR="00D84C46">
                    <w:rPr>
                      <w:noProof/>
                    </w:rPr>
                    <w:t>10</w:t>
                  </w:r>
                  <w:r>
                    <w:fldChar w:fldCharType="end"/>
                  </w:r>
                  <w:r>
                    <w:t xml:space="preserve"> de </w:t>
                  </w:r>
                  <w:r>
                    <w:fldChar w:fldCharType="begin"/>
                  </w:r>
                  <w:r>
                    <w:rPr>
                      <w:spacing w:val="-10"/>
                    </w:rPr>
                    <w:instrText xml:space="preserve"> NUMPAGES </w:instrText>
                  </w:r>
                  <w:r>
                    <w:rPr>
                      <w:spacing w:val="-10"/>
                    </w:rPr>
                    <w:fldChar w:fldCharType="separate"/>
                  </w:r>
                  <w:r w:rsidR="00D84C46">
                    <w:rPr>
                      <w:noProof/>
                      <w:spacing w:val="-10"/>
                    </w:rPr>
                    <w:t>11</w:t>
                  </w:r>
                  <w:r>
                    <w:rPr>
                      <w:spacing w:val="-10"/>
                    </w:rPr>
                    <w:fldChar w:fldCharType="end"/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ADE9" w14:textId="77777777" w:rsidR="00EB7D83" w:rsidRDefault="00EB7D83">
      <w:r>
        <w:separator/>
      </w:r>
    </w:p>
  </w:footnote>
  <w:footnote w:type="continuationSeparator" w:id="0">
    <w:p w14:paraId="30284656" w14:textId="77777777" w:rsidR="00EB7D83" w:rsidRDefault="00EB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8CB"/>
    <w:multiLevelType w:val="hybridMultilevel"/>
    <w:tmpl w:val="BFEA085E"/>
    <w:lvl w:ilvl="0" w:tplc="374A6782">
      <w:numFmt w:val="bullet"/>
      <w:lvlText w:val="•"/>
      <w:lvlJc w:val="left"/>
      <w:pPr>
        <w:ind w:left="27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6"/>
        <w:position w:val="3"/>
        <w:sz w:val="14"/>
        <w:szCs w:val="14"/>
        <w:lang w:val="en-US" w:eastAsia="en-US" w:bidi="ar-SA"/>
      </w:rPr>
    </w:lvl>
    <w:lvl w:ilvl="1" w:tplc="71FA0A18">
      <w:numFmt w:val="bullet"/>
      <w:lvlText w:val="•"/>
      <w:lvlJc w:val="left"/>
      <w:pPr>
        <w:ind w:left="1268" w:hanging="160"/>
      </w:pPr>
      <w:rPr>
        <w:rFonts w:hint="default"/>
        <w:lang w:val="en-US" w:eastAsia="en-US" w:bidi="ar-SA"/>
      </w:rPr>
    </w:lvl>
    <w:lvl w:ilvl="2" w:tplc="78500708">
      <w:numFmt w:val="bullet"/>
      <w:lvlText w:val="•"/>
      <w:lvlJc w:val="left"/>
      <w:pPr>
        <w:ind w:left="2256" w:hanging="160"/>
      </w:pPr>
      <w:rPr>
        <w:rFonts w:hint="default"/>
        <w:lang w:val="en-US" w:eastAsia="en-US" w:bidi="ar-SA"/>
      </w:rPr>
    </w:lvl>
    <w:lvl w:ilvl="3" w:tplc="0068E17E">
      <w:numFmt w:val="bullet"/>
      <w:lvlText w:val="•"/>
      <w:lvlJc w:val="left"/>
      <w:pPr>
        <w:ind w:left="3244" w:hanging="160"/>
      </w:pPr>
      <w:rPr>
        <w:rFonts w:hint="default"/>
        <w:lang w:val="en-US" w:eastAsia="en-US" w:bidi="ar-SA"/>
      </w:rPr>
    </w:lvl>
    <w:lvl w:ilvl="4" w:tplc="62921694">
      <w:numFmt w:val="bullet"/>
      <w:lvlText w:val="•"/>
      <w:lvlJc w:val="left"/>
      <w:pPr>
        <w:ind w:left="4232" w:hanging="160"/>
      </w:pPr>
      <w:rPr>
        <w:rFonts w:hint="default"/>
        <w:lang w:val="en-US" w:eastAsia="en-US" w:bidi="ar-SA"/>
      </w:rPr>
    </w:lvl>
    <w:lvl w:ilvl="5" w:tplc="929602FE">
      <w:numFmt w:val="bullet"/>
      <w:lvlText w:val="•"/>
      <w:lvlJc w:val="left"/>
      <w:pPr>
        <w:ind w:left="5220" w:hanging="160"/>
      </w:pPr>
      <w:rPr>
        <w:rFonts w:hint="default"/>
        <w:lang w:val="en-US" w:eastAsia="en-US" w:bidi="ar-SA"/>
      </w:rPr>
    </w:lvl>
    <w:lvl w:ilvl="6" w:tplc="04660452">
      <w:numFmt w:val="bullet"/>
      <w:lvlText w:val="•"/>
      <w:lvlJc w:val="left"/>
      <w:pPr>
        <w:ind w:left="6208" w:hanging="160"/>
      </w:pPr>
      <w:rPr>
        <w:rFonts w:hint="default"/>
        <w:lang w:val="en-US" w:eastAsia="en-US" w:bidi="ar-SA"/>
      </w:rPr>
    </w:lvl>
    <w:lvl w:ilvl="7" w:tplc="1780C6E2">
      <w:numFmt w:val="bullet"/>
      <w:lvlText w:val="•"/>
      <w:lvlJc w:val="left"/>
      <w:pPr>
        <w:ind w:left="7196" w:hanging="160"/>
      </w:pPr>
      <w:rPr>
        <w:rFonts w:hint="default"/>
        <w:lang w:val="en-US" w:eastAsia="en-US" w:bidi="ar-SA"/>
      </w:rPr>
    </w:lvl>
    <w:lvl w:ilvl="8" w:tplc="7234CBD8">
      <w:numFmt w:val="bullet"/>
      <w:lvlText w:val="•"/>
      <w:lvlJc w:val="left"/>
      <w:pPr>
        <w:ind w:left="8184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41EB1103"/>
    <w:multiLevelType w:val="hybridMultilevel"/>
    <w:tmpl w:val="8EF6EA96"/>
    <w:lvl w:ilvl="0" w:tplc="240ADE0C">
      <w:start w:val="1"/>
      <w:numFmt w:val="decimal"/>
      <w:lvlText w:val="%1."/>
      <w:lvlJc w:val="left"/>
      <w:pPr>
        <w:ind w:left="440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9"/>
        <w:sz w:val="18"/>
        <w:szCs w:val="18"/>
        <w:lang w:val="en-US" w:eastAsia="en-US" w:bidi="ar-SA"/>
      </w:rPr>
    </w:lvl>
    <w:lvl w:ilvl="1" w:tplc="19DC6764">
      <w:numFmt w:val="bullet"/>
      <w:lvlText w:val="•"/>
      <w:lvlJc w:val="left"/>
      <w:pPr>
        <w:ind w:left="1412" w:hanging="240"/>
      </w:pPr>
      <w:rPr>
        <w:rFonts w:hint="default"/>
        <w:lang w:val="en-US" w:eastAsia="en-US" w:bidi="ar-SA"/>
      </w:rPr>
    </w:lvl>
    <w:lvl w:ilvl="2" w:tplc="CB52B780">
      <w:numFmt w:val="bullet"/>
      <w:lvlText w:val="•"/>
      <w:lvlJc w:val="left"/>
      <w:pPr>
        <w:ind w:left="2384" w:hanging="240"/>
      </w:pPr>
      <w:rPr>
        <w:rFonts w:hint="default"/>
        <w:lang w:val="en-US" w:eastAsia="en-US" w:bidi="ar-SA"/>
      </w:rPr>
    </w:lvl>
    <w:lvl w:ilvl="3" w:tplc="54D4E39C">
      <w:numFmt w:val="bullet"/>
      <w:lvlText w:val="•"/>
      <w:lvlJc w:val="left"/>
      <w:pPr>
        <w:ind w:left="3356" w:hanging="240"/>
      </w:pPr>
      <w:rPr>
        <w:rFonts w:hint="default"/>
        <w:lang w:val="en-US" w:eastAsia="en-US" w:bidi="ar-SA"/>
      </w:rPr>
    </w:lvl>
    <w:lvl w:ilvl="4" w:tplc="8DB02F84">
      <w:numFmt w:val="bullet"/>
      <w:lvlText w:val="•"/>
      <w:lvlJc w:val="left"/>
      <w:pPr>
        <w:ind w:left="4328" w:hanging="240"/>
      </w:pPr>
      <w:rPr>
        <w:rFonts w:hint="default"/>
        <w:lang w:val="en-US" w:eastAsia="en-US" w:bidi="ar-SA"/>
      </w:rPr>
    </w:lvl>
    <w:lvl w:ilvl="5" w:tplc="2BAA5E0E">
      <w:numFmt w:val="bullet"/>
      <w:lvlText w:val="•"/>
      <w:lvlJc w:val="left"/>
      <w:pPr>
        <w:ind w:left="5300" w:hanging="240"/>
      </w:pPr>
      <w:rPr>
        <w:rFonts w:hint="default"/>
        <w:lang w:val="en-US" w:eastAsia="en-US" w:bidi="ar-SA"/>
      </w:rPr>
    </w:lvl>
    <w:lvl w:ilvl="6" w:tplc="A7828FB8">
      <w:numFmt w:val="bullet"/>
      <w:lvlText w:val="•"/>
      <w:lvlJc w:val="left"/>
      <w:pPr>
        <w:ind w:left="6272" w:hanging="240"/>
      </w:pPr>
      <w:rPr>
        <w:rFonts w:hint="default"/>
        <w:lang w:val="en-US" w:eastAsia="en-US" w:bidi="ar-SA"/>
      </w:rPr>
    </w:lvl>
    <w:lvl w:ilvl="7" w:tplc="17B03A10">
      <w:numFmt w:val="bullet"/>
      <w:lvlText w:val="•"/>
      <w:lvlJc w:val="left"/>
      <w:pPr>
        <w:ind w:left="7244" w:hanging="240"/>
      </w:pPr>
      <w:rPr>
        <w:rFonts w:hint="default"/>
        <w:lang w:val="en-US" w:eastAsia="en-US" w:bidi="ar-SA"/>
      </w:rPr>
    </w:lvl>
    <w:lvl w:ilvl="8" w:tplc="BFB87F1C">
      <w:numFmt w:val="bullet"/>
      <w:lvlText w:val="•"/>
      <w:lvlJc w:val="left"/>
      <w:pPr>
        <w:ind w:left="8216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18823D1"/>
    <w:multiLevelType w:val="hybridMultilevel"/>
    <w:tmpl w:val="A22AB872"/>
    <w:lvl w:ilvl="0" w:tplc="760C420C">
      <w:numFmt w:val="bullet"/>
      <w:lvlText w:val="•"/>
      <w:lvlJc w:val="left"/>
      <w:pPr>
        <w:ind w:left="271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6"/>
        <w:position w:val="3"/>
        <w:sz w:val="14"/>
        <w:szCs w:val="14"/>
        <w:lang w:val="en-US" w:eastAsia="en-US" w:bidi="ar-SA"/>
      </w:rPr>
    </w:lvl>
    <w:lvl w:ilvl="1" w:tplc="19764ABE">
      <w:numFmt w:val="bullet"/>
      <w:lvlText w:val="•"/>
      <w:lvlJc w:val="left"/>
      <w:pPr>
        <w:ind w:left="1268" w:hanging="160"/>
      </w:pPr>
      <w:rPr>
        <w:rFonts w:hint="default"/>
        <w:lang w:val="en-US" w:eastAsia="en-US" w:bidi="ar-SA"/>
      </w:rPr>
    </w:lvl>
    <w:lvl w:ilvl="2" w:tplc="DFD8E64E">
      <w:numFmt w:val="bullet"/>
      <w:lvlText w:val="•"/>
      <w:lvlJc w:val="left"/>
      <w:pPr>
        <w:ind w:left="2256" w:hanging="160"/>
      </w:pPr>
      <w:rPr>
        <w:rFonts w:hint="default"/>
        <w:lang w:val="en-US" w:eastAsia="en-US" w:bidi="ar-SA"/>
      </w:rPr>
    </w:lvl>
    <w:lvl w:ilvl="3" w:tplc="EE3E59C2">
      <w:numFmt w:val="bullet"/>
      <w:lvlText w:val="•"/>
      <w:lvlJc w:val="left"/>
      <w:pPr>
        <w:ind w:left="3244" w:hanging="160"/>
      </w:pPr>
      <w:rPr>
        <w:rFonts w:hint="default"/>
        <w:lang w:val="en-US" w:eastAsia="en-US" w:bidi="ar-SA"/>
      </w:rPr>
    </w:lvl>
    <w:lvl w:ilvl="4" w:tplc="E1DC31CC">
      <w:numFmt w:val="bullet"/>
      <w:lvlText w:val="•"/>
      <w:lvlJc w:val="left"/>
      <w:pPr>
        <w:ind w:left="4232" w:hanging="160"/>
      </w:pPr>
      <w:rPr>
        <w:rFonts w:hint="default"/>
        <w:lang w:val="en-US" w:eastAsia="en-US" w:bidi="ar-SA"/>
      </w:rPr>
    </w:lvl>
    <w:lvl w:ilvl="5" w:tplc="ADE257FA">
      <w:numFmt w:val="bullet"/>
      <w:lvlText w:val="•"/>
      <w:lvlJc w:val="left"/>
      <w:pPr>
        <w:ind w:left="5220" w:hanging="160"/>
      </w:pPr>
      <w:rPr>
        <w:rFonts w:hint="default"/>
        <w:lang w:val="en-US" w:eastAsia="en-US" w:bidi="ar-SA"/>
      </w:rPr>
    </w:lvl>
    <w:lvl w:ilvl="6" w:tplc="6FA22970">
      <w:numFmt w:val="bullet"/>
      <w:lvlText w:val="•"/>
      <w:lvlJc w:val="left"/>
      <w:pPr>
        <w:ind w:left="6208" w:hanging="160"/>
      </w:pPr>
      <w:rPr>
        <w:rFonts w:hint="default"/>
        <w:lang w:val="en-US" w:eastAsia="en-US" w:bidi="ar-SA"/>
      </w:rPr>
    </w:lvl>
    <w:lvl w:ilvl="7" w:tplc="39607544">
      <w:numFmt w:val="bullet"/>
      <w:lvlText w:val="•"/>
      <w:lvlJc w:val="left"/>
      <w:pPr>
        <w:ind w:left="7196" w:hanging="160"/>
      </w:pPr>
      <w:rPr>
        <w:rFonts w:hint="default"/>
        <w:lang w:val="en-US" w:eastAsia="en-US" w:bidi="ar-SA"/>
      </w:rPr>
    </w:lvl>
    <w:lvl w:ilvl="8" w:tplc="30B4F160">
      <w:numFmt w:val="bullet"/>
      <w:lvlText w:val="•"/>
      <w:lvlJc w:val="left"/>
      <w:pPr>
        <w:ind w:left="8184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67417918"/>
    <w:multiLevelType w:val="hybridMultilevel"/>
    <w:tmpl w:val="DD0256CA"/>
    <w:lvl w:ilvl="0" w:tplc="114015FA">
      <w:numFmt w:val="bullet"/>
      <w:lvlText w:val="•"/>
      <w:lvlJc w:val="left"/>
      <w:pPr>
        <w:ind w:left="366" w:hanging="19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6"/>
        <w:position w:val="3"/>
        <w:sz w:val="14"/>
        <w:szCs w:val="14"/>
        <w:lang w:val="en-US" w:eastAsia="en-US" w:bidi="ar-SA"/>
      </w:rPr>
    </w:lvl>
    <w:lvl w:ilvl="1" w:tplc="808C2276">
      <w:numFmt w:val="bullet"/>
      <w:lvlText w:val="•"/>
      <w:lvlJc w:val="left"/>
      <w:pPr>
        <w:ind w:left="1317" w:hanging="192"/>
      </w:pPr>
      <w:rPr>
        <w:rFonts w:hint="default"/>
        <w:lang w:val="en-US" w:eastAsia="en-US" w:bidi="ar-SA"/>
      </w:rPr>
    </w:lvl>
    <w:lvl w:ilvl="2" w:tplc="80F0E65A">
      <w:numFmt w:val="bullet"/>
      <w:lvlText w:val="•"/>
      <w:lvlJc w:val="left"/>
      <w:pPr>
        <w:ind w:left="2275" w:hanging="192"/>
      </w:pPr>
      <w:rPr>
        <w:rFonts w:hint="default"/>
        <w:lang w:val="en-US" w:eastAsia="en-US" w:bidi="ar-SA"/>
      </w:rPr>
    </w:lvl>
    <w:lvl w:ilvl="3" w:tplc="8F68FC3A">
      <w:numFmt w:val="bullet"/>
      <w:lvlText w:val="•"/>
      <w:lvlJc w:val="left"/>
      <w:pPr>
        <w:ind w:left="3232" w:hanging="192"/>
      </w:pPr>
      <w:rPr>
        <w:rFonts w:hint="default"/>
        <w:lang w:val="en-US" w:eastAsia="en-US" w:bidi="ar-SA"/>
      </w:rPr>
    </w:lvl>
    <w:lvl w:ilvl="4" w:tplc="C1489744">
      <w:numFmt w:val="bullet"/>
      <w:lvlText w:val="•"/>
      <w:lvlJc w:val="left"/>
      <w:pPr>
        <w:ind w:left="4190" w:hanging="192"/>
      </w:pPr>
      <w:rPr>
        <w:rFonts w:hint="default"/>
        <w:lang w:val="en-US" w:eastAsia="en-US" w:bidi="ar-SA"/>
      </w:rPr>
    </w:lvl>
    <w:lvl w:ilvl="5" w:tplc="A1142D2A">
      <w:numFmt w:val="bullet"/>
      <w:lvlText w:val="•"/>
      <w:lvlJc w:val="left"/>
      <w:pPr>
        <w:ind w:left="5148" w:hanging="192"/>
      </w:pPr>
      <w:rPr>
        <w:rFonts w:hint="default"/>
        <w:lang w:val="en-US" w:eastAsia="en-US" w:bidi="ar-SA"/>
      </w:rPr>
    </w:lvl>
    <w:lvl w:ilvl="6" w:tplc="24343BE8">
      <w:numFmt w:val="bullet"/>
      <w:lvlText w:val="•"/>
      <w:lvlJc w:val="left"/>
      <w:pPr>
        <w:ind w:left="6105" w:hanging="192"/>
      </w:pPr>
      <w:rPr>
        <w:rFonts w:hint="default"/>
        <w:lang w:val="en-US" w:eastAsia="en-US" w:bidi="ar-SA"/>
      </w:rPr>
    </w:lvl>
    <w:lvl w:ilvl="7" w:tplc="B6741206">
      <w:numFmt w:val="bullet"/>
      <w:lvlText w:val="•"/>
      <w:lvlJc w:val="left"/>
      <w:pPr>
        <w:ind w:left="7063" w:hanging="192"/>
      </w:pPr>
      <w:rPr>
        <w:rFonts w:hint="default"/>
        <w:lang w:val="en-US" w:eastAsia="en-US" w:bidi="ar-SA"/>
      </w:rPr>
    </w:lvl>
    <w:lvl w:ilvl="8" w:tplc="DE3A08C8">
      <w:numFmt w:val="bullet"/>
      <w:lvlText w:val="•"/>
      <w:lvlJc w:val="left"/>
      <w:pPr>
        <w:ind w:left="8020" w:hanging="192"/>
      </w:pPr>
      <w:rPr>
        <w:rFonts w:hint="default"/>
        <w:lang w:val="en-US" w:eastAsia="en-US" w:bidi="ar-SA"/>
      </w:rPr>
    </w:lvl>
  </w:abstractNum>
  <w:num w:numId="1" w16cid:durableId="1662077347">
    <w:abstractNumId w:val="1"/>
  </w:num>
  <w:num w:numId="2" w16cid:durableId="1843819089">
    <w:abstractNumId w:val="2"/>
  </w:num>
  <w:num w:numId="3" w16cid:durableId="663123359">
    <w:abstractNumId w:val="0"/>
  </w:num>
  <w:num w:numId="4" w16cid:durableId="1492717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CF6"/>
    <w:rsid w:val="003037A4"/>
    <w:rsid w:val="00867206"/>
    <w:rsid w:val="00B236F9"/>
    <w:rsid w:val="00C04269"/>
    <w:rsid w:val="00D84C46"/>
    <w:rsid w:val="00E80CF6"/>
    <w:rsid w:val="00E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2"/>
    </o:shapelayout>
  </w:shapeDefaults>
  <w:decimalSymbol w:val=","/>
  <w:listSeparator w:val=";"/>
  <w14:docId w14:val="2ECB2234"/>
  <w15:docId w15:val="{F3F6300B-F7DC-5A45-A905-D535BFC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pt-BR" w:eastAsia="pt-B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4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sz w:val="24"/>
    </w:rPr>
  </w:style>
  <w:style w:type="paragraph" w:styleId="Ttulo3">
    <w:name w:val="heading 3"/>
    <w:basedOn w:val="Normal"/>
    <w:uiPriority w:val="9"/>
    <w:unhideWhenUsed/>
    <w:qFormat/>
    <w:pPr>
      <w:ind w:left="112"/>
      <w:outlineLvl w:val="2"/>
    </w:pPr>
    <w:rPr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</w:rPr>
  </w:style>
  <w:style w:type="paragraph" w:styleId="Ttulo">
    <w:name w:val="Title"/>
    <w:basedOn w:val="Normal"/>
    <w:uiPriority w:val="10"/>
    <w:qFormat/>
    <w:pPr>
      <w:spacing w:before="39"/>
      <w:ind w:left="112"/>
    </w:pPr>
    <w:rPr>
      <w:sz w:val="40"/>
    </w:rPr>
  </w:style>
  <w:style w:type="paragraph" w:styleId="PargrafodaLista">
    <w:name w:val="List Paragraph"/>
    <w:basedOn w:val="Normal"/>
    <w:uiPriority w:val="1"/>
    <w:qFormat/>
    <w:pPr>
      <w:ind w:left="271" w:right="110" w:hanging="1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9" w:lineRule="exact"/>
    </w:pPr>
  </w:style>
  <w:style w:type="paragraph" w:customStyle="1" w:styleId="P68B1DB1-Normal1">
    <w:name w:val="P68B1DB1-Normal1"/>
    <w:basedOn w:val="Normal"/>
    <w:rPr>
      <w:color w:val="FFFFFF"/>
      <w:sz w:val="32"/>
    </w:rPr>
  </w:style>
  <w:style w:type="paragraph" w:customStyle="1" w:styleId="P68B1DB1-Normal2">
    <w:name w:val="P68B1DB1-Normal2"/>
    <w:basedOn w:val="Normal"/>
    <w:rPr>
      <w:color w:val="231F20"/>
    </w:rPr>
  </w:style>
  <w:style w:type="paragraph" w:customStyle="1" w:styleId="P68B1DB1-BodyText3">
    <w:name w:val="P68B1DB1-BodyText3"/>
    <w:basedOn w:val="Corpodetexto"/>
    <w:rPr>
      <w:color w:val="231F20"/>
    </w:rPr>
  </w:style>
  <w:style w:type="paragraph" w:customStyle="1" w:styleId="P68B1DB1-Normal4">
    <w:name w:val="P68B1DB1-Normal4"/>
    <w:basedOn w:val="Normal"/>
    <w:rPr>
      <w:i/>
      <w:color w:val="231F20"/>
      <w:sz w:val="18"/>
    </w:rPr>
  </w:style>
  <w:style w:type="paragraph" w:customStyle="1" w:styleId="P68B1DB1-Normal5">
    <w:name w:val="P68B1DB1-Normal5"/>
    <w:basedOn w:val="Normal"/>
    <w:rPr>
      <w:color w:val="231F20"/>
      <w:sz w:val="24"/>
    </w:rPr>
  </w:style>
  <w:style w:type="paragraph" w:customStyle="1" w:styleId="P68B1DB1-Heading16">
    <w:name w:val="P68B1DB1-Heading16"/>
    <w:basedOn w:val="Ttulo1"/>
    <w:rPr>
      <w:color w:val="231F20"/>
    </w:rPr>
  </w:style>
  <w:style w:type="paragraph" w:customStyle="1" w:styleId="P68B1DB1-Normal7">
    <w:name w:val="P68B1DB1-Normal7"/>
    <w:basedOn w:val="Normal"/>
    <w:rPr>
      <w:i/>
      <w:color w:val="0000FF"/>
      <w:sz w:val="20"/>
    </w:rPr>
  </w:style>
  <w:style w:type="paragraph" w:customStyle="1" w:styleId="P68B1DB1-Normal8">
    <w:name w:val="P68B1DB1-Normal8"/>
    <w:basedOn w:val="Normal"/>
    <w:rPr>
      <w:i/>
      <w:sz w:val="16"/>
    </w:rPr>
  </w:style>
  <w:style w:type="paragraph" w:customStyle="1" w:styleId="P68B1DB1-BodyText9">
    <w:name w:val="P68B1DB1-BodyText9"/>
    <w:basedOn w:val="Corpodetexto"/>
    <w:rPr>
      <w:sz w:val="20"/>
    </w:rPr>
  </w:style>
  <w:style w:type="paragraph" w:customStyle="1" w:styleId="P68B1DB1-Normal10">
    <w:name w:val="P68B1DB1-Normal10"/>
    <w:basedOn w:val="Normal"/>
    <w:rPr>
      <w:color w:val="231F20"/>
      <w:sz w:val="16"/>
    </w:rPr>
  </w:style>
  <w:style w:type="paragraph" w:customStyle="1" w:styleId="P68B1DB1-ListParagraph11">
    <w:name w:val="P68B1DB1-ListParagraph11"/>
    <w:basedOn w:val="PargrafodaLista"/>
    <w:rPr>
      <w:color w:val="231F20"/>
      <w:sz w:val="18"/>
    </w:rPr>
  </w:style>
  <w:style w:type="paragraph" w:customStyle="1" w:styleId="P68B1DB1-TableParagraph12">
    <w:name w:val="P68B1DB1-TableParagraph12"/>
    <w:basedOn w:val="TableParagraph"/>
    <w:rPr>
      <w:color w:val="231F20"/>
      <w:sz w:val="18"/>
    </w:rPr>
  </w:style>
  <w:style w:type="paragraph" w:customStyle="1" w:styleId="P68B1DB1-Heading213">
    <w:name w:val="P68B1DB1-Heading213"/>
    <w:basedOn w:val="Ttulo2"/>
    <w:rPr>
      <w:color w:val="231F20"/>
    </w:rPr>
  </w:style>
  <w:style w:type="paragraph" w:customStyle="1" w:styleId="P68B1DB1-Normal14">
    <w:name w:val="P68B1DB1-Normal14"/>
    <w:basedOn w:val="Normal"/>
    <w:rPr>
      <w:sz w:val="20"/>
    </w:rPr>
  </w:style>
  <w:style w:type="paragraph" w:customStyle="1" w:styleId="P68B1DB1-Heading315">
    <w:name w:val="P68B1DB1-Heading315"/>
    <w:basedOn w:val="Ttulo3"/>
    <w:rPr>
      <w:color w:val="231F20"/>
    </w:rPr>
  </w:style>
  <w:style w:type="paragraph" w:customStyle="1" w:styleId="P68B1DB1-Normal16">
    <w:name w:val="P68B1DB1-Normal16"/>
    <w:basedOn w:val="Normal"/>
    <w:rPr>
      <w:sz w:val="16"/>
    </w:rPr>
  </w:style>
  <w:style w:type="paragraph" w:customStyle="1" w:styleId="P68B1DB1-Normal17">
    <w:name w:val="P68B1DB1-Normal17"/>
    <w:basedOn w:val="Normal"/>
    <w:rPr>
      <w:sz w:val="15"/>
    </w:rPr>
  </w:style>
  <w:style w:type="paragraph" w:styleId="Cabealho">
    <w:name w:val="header"/>
    <w:basedOn w:val="Normal"/>
    <w:link w:val="CabealhoChar"/>
    <w:uiPriority w:val="99"/>
    <w:unhideWhenUsed/>
    <w:rsid w:val="00D84C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4C4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84C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C4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9.png"/><Relationship Id="rId68" Type="http://schemas.openxmlformats.org/officeDocument/2006/relationships/image" Target="media/image51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9" Type="http://schemas.openxmlformats.org/officeDocument/2006/relationships/image" Target="media/image15.png"/><Relationship Id="rId11" Type="http://schemas.openxmlformats.org/officeDocument/2006/relationships/hyperlink" Target="mailto:r.ariyanayagam@nhs.net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hyperlink" Target="http://www.medicinescomplete.com/" TargetMode="External"/><Relationship Id="rId5" Type="http://schemas.openxmlformats.org/officeDocument/2006/relationships/styles" Target="styles.xml"/><Relationship Id="rId61" Type="http://schemas.openxmlformats.org/officeDocument/2006/relationships/image" Target="media/image47.png"/><Relationship Id="rId19" Type="http://schemas.openxmlformats.org/officeDocument/2006/relationships/image" Target="media/image5.png"/><Relationship Id="rId14" Type="http://schemas.openxmlformats.org/officeDocument/2006/relationships/hyperlink" Target="https://www.wfsahq.org/cme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image" Target="media/image37.png"/><Relationship Id="rId3" Type="http://schemas.openxmlformats.org/officeDocument/2006/relationships/customXml" Target="../customXml/item3.xml"/><Relationship Id="rId12" Type="http://schemas.openxmlformats.org/officeDocument/2006/relationships/hyperlink" Target="https://resources.wfsahq.org/quiz/paediatric-postoperative-vomiting-atotw-479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hyperlink" Target="http://www.ema.europa.eu/en/news/european-medicines-agency-recommends-changes-" TargetMode="External"/><Relationship Id="rId20" Type="http://schemas.openxmlformats.org/officeDocument/2006/relationships/image" Target="media/image6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image" Target="media/image1.jpe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hyperlink" Target="http://www.apagbi.org.uk/sites/defaul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wfsahq.org/cme" TargetMode="External"/><Relationship Id="rId18" Type="http://schemas.openxmlformats.org/officeDocument/2006/relationships/image" Target="media/image4.png"/><Relationship Id="rId39" Type="http://schemas.openxmlformats.org/officeDocument/2006/relationships/image" Target="media/image25.png"/><Relationship Id="rId34" Type="http://schemas.openxmlformats.org/officeDocument/2006/relationships/image" Target="media/image20.png"/><Relationship Id="rId50" Type="http://schemas.openxmlformats.org/officeDocument/2006/relationships/image" Target="media/image36.png"/><Relationship Id="rId55" Type="http://schemas.openxmlformats.org/officeDocument/2006/relationships/image" Target="media/image4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esources.wfsahq.org/anaesthesia-tutorial-of-the-week/" TargetMode="External"/><Relationship Id="rId2" Type="http://schemas.openxmlformats.org/officeDocument/2006/relationships/hyperlink" Target="https://resources.wfsahq.org/anaesthesia-tutorial-of-the-week/" TargetMode="External"/><Relationship Id="rId1" Type="http://schemas.openxmlformats.org/officeDocument/2006/relationships/hyperlink" Target="https://resources.wfsahq.org/anaesthesia-tutorial-of-the-we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70650E03-BE6C-4CBD-A361-0CC5DCE1A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D1311-8FA6-45D3-A4DA-99C8968FC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256A4-9F4A-4A08-BFE8-3D2104B5ABAC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3448</Words>
  <Characters>18622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Natalia Mancuso</cp:lastModifiedBy>
  <cp:revision>3</cp:revision>
  <dcterms:created xsi:type="dcterms:W3CDTF">2022-08-30T10:46:00Z</dcterms:created>
  <dcterms:modified xsi:type="dcterms:W3CDTF">2023-04-20T19:58:00Z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3B2 Total Publishing System 8.07c/W</vt:lpwstr>
  </property>
  <property fmtid="{D5CDD505-2E9C-101B-9397-08002B2CF9AE}" pid="4" name="LastSaved">
    <vt:filetime>2022-08-30T00:00:00Z</vt:filetime>
  </property>
  <property fmtid="{D5CDD505-2E9C-101B-9397-08002B2CF9AE}" pid="5" name="Producer">
    <vt:lpwstr>Adobe LiveCycle PDF Generator</vt:lpwstr>
  </property>
  <property fmtid="{D5CDD505-2E9C-101B-9397-08002B2CF9AE}" pid="6" name="ContentTypeId">
    <vt:lpwstr>0x010100032F932ED62B9A47AD1548F009084528</vt:lpwstr>
  </property>
  <property fmtid="{D5CDD505-2E9C-101B-9397-08002B2CF9AE}" pid="7" name="MediaServiceImageTags">
    <vt:lpwstr/>
  </property>
</Properties>
</file>