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B893" w14:textId="77777777" w:rsidR="00647EAF" w:rsidRDefault="003F757C">
      <w:pPr>
        <w:pStyle w:val="P68B1DB1-Normal1"/>
        <w:spacing w:after="0" w:line="240" w:lineRule="auto"/>
      </w:pPr>
      <w:r>
        <w:t>472 Perguntas e Respostas</w:t>
      </w:r>
    </w:p>
    <w:p w14:paraId="59B7C381" w14:textId="77777777" w:rsidR="00647EAF" w:rsidRDefault="00647EAF">
      <w:pPr>
        <w:spacing w:after="0" w:line="240" w:lineRule="auto"/>
        <w:rPr>
          <w:rFonts w:ascii="Arial" w:hAnsi="Arial" w:cs="Arial"/>
          <w:sz w:val="18"/>
        </w:rPr>
      </w:pPr>
    </w:p>
    <w:p w14:paraId="79D41F79" w14:textId="6069E70D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>A metadona tem múltiplos mecanismos de ação, incluindo agonista mu, antagonista NMDA, inibição da recaptação de 5HT3 e</w:t>
      </w:r>
      <w:r>
        <w:rPr>
          <w:b/>
        </w:rPr>
        <w:t xml:space="preserve"> </w:t>
      </w:r>
      <w:r w:rsidRPr="00D23846">
        <w:rPr>
          <w:bCs/>
        </w:rPr>
        <w:t>NA</w:t>
      </w:r>
      <w:r>
        <w:rPr>
          <w:b/>
        </w:rPr>
        <w:t>.</w:t>
      </w:r>
      <w:r w:rsidR="00D23846">
        <w:rPr>
          <w:b/>
        </w:rPr>
        <w:t xml:space="preserve"> </w:t>
      </w:r>
      <w:r>
        <w:rPr>
          <w:b/>
        </w:rPr>
        <w:t>Verdade</w:t>
      </w:r>
      <w:r w:rsidR="00B42603">
        <w:rPr>
          <w:b/>
        </w:rPr>
        <w:t>iro</w:t>
      </w:r>
      <w:r>
        <w:rPr>
          <w:b/>
        </w:rPr>
        <w:t xml:space="preserve">: </w:t>
      </w:r>
      <w:r w:rsidRPr="00D23846">
        <w:rPr>
          <w:bCs/>
        </w:rPr>
        <w:t>O</w:t>
      </w:r>
      <w:r>
        <w:t xml:space="preserve"> mecanismo de ação multimodal da metadona contribui para seu amplo efeito no tratamento da dor</w:t>
      </w:r>
    </w:p>
    <w:p w14:paraId="59C86F93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796D35BD" w14:textId="77777777" w:rsidR="00647EAF" w:rsidRDefault="003F757C">
      <w:pPr>
        <w:pStyle w:val="P68B1DB1-ListParagraph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Metadona IV é equipotente à morfina IV em todas as doses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 Falso: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Com doses crescentes de metadona, a relação entre morfina e metadona não permanece linear e a metadona se torna relativamente mais potente</w:t>
      </w:r>
    </w:p>
    <w:p w14:paraId="6DB37D9B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19E69D85" w14:textId="410515C2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>A metadona tem uma duração prolongada de ação de até</w:t>
      </w:r>
      <w:r>
        <w:br/>
        <w:t xml:space="preserve"> 5 horas em qualquer dose. </w:t>
      </w:r>
      <w:r w:rsidR="00B42603" w:rsidRPr="00B42603">
        <w:rPr>
          <w:b/>
          <w:bCs/>
        </w:rPr>
        <w:t>Falso:</w:t>
      </w:r>
      <w:r w:rsidR="00B42603">
        <w:t xml:space="preserve"> Em doses menores (ou seja, </w:t>
      </w:r>
      <w:r>
        <w:t>5 mg)</w:t>
      </w:r>
      <w:r w:rsidR="00B42603">
        <w:t>,</w:t>
      </w:r>
      <w:r>
        <w:t xml:space="preserve"> </w:t>
      </w:r>
      <w:r w:rsidR="00B42603">
        <w:t>a</w:t>
      </w:r>
      <w:r>
        <w:t xml:space="preserve"> metadona pode durar até 5 horas, enquanto em doses maiores (20 mg), os efeitos podem durar até 24 horas</w:t>
      </w:r>
    </w:p>
    <w:p w14:paraId="3F35B4AF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0A616E5A" w14:textId="77777777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>A metadona é equipotente à morfina e existem diretrizes consensuais para regimes de conversão</w:t>
      </w:r>
      <w:r>
        <w:br/>
      </w:r>
      <w:r>
        <w:rPr>
          <w:b/>
        </w:rPr>
        <w:t xml:space="preserve"> Falso:</w:t>
      </w:r>
      <w:r>
        <w:t xml:space="preserve"> Acredita-se que a metadona IV seja equipotente à morfina IV apenas em certas doses. A metadona oral é mais potente do que a morfina oral e a relação não permanece linear em doses mais elevadas. Portanto, há pouco consenso em relação às doses de conversão e o manejo a longo prazo requer informações especializadas.</w:t>
      </w:r>
    </w:p>
    <w:p w14:paraId="56D31ED4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7C528454" w14:textId="7C2DAA4C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>Verificou-se que uma dose única de metadona diminui as necessidades pós-operatórias de opioides e melhora os escores de dor.</w:t>
      </w:r>
      <w:r>
        <w:br/>
      </w:r>
      <w:r>
        <w:rPr>
          <w:b/>
        </w:rPr>
        <w:t xml:space="preserve"> Verdade</w:t>
      </w:r>
      <w:r w:rsidR="00B42603">
        <w:rPr>
          <w:b/>
        </w:rPr>
        <w:t>iro</w:t>
      </w:r>
      <w:r>
        <w:rPr>
          <w:b/>
        </w:rPr>
        <w:t>:</w:t>
      </w:r>
      <w:r>
        <w:t xml:space="preserve"> Uma dose única em bolus de metadona melhorou os escores de dor, diminuiu as necessidades pós-operatórias e totais de opioides, melhorou a satisfação do paciente e diminuiu os efeitos colaterais relacionados aos opioides </w:t>
      </w:r>
    </w:p>
    <w:p w14:paraId="04AB7824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412CA6AA" w14:textId="3B11588C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>O risco de toxicidade com metadona é maior no início, escalonamento de dose, em homens e aumento da i</w:t>
      </w:r>
      <w:r w:rsidR="00B42603">
        <w:t>d</w:t>
      </w:r>
      <w:r>
        <w:t>ade e ASA</w:t>
      </w:r>
      <w:r>
        <w:br/>
      </w:r>
      <w:r w:rsidR="00B42603">
        <w:rPr>
          <w:b/>
        </w:rPr>
        <w:t>Verdadeiro</w:t>
      </w:r>
      <w:r>
        <w:rPr>
          <w:b/>
        </w:rPr>
        <w:t xml:space="preserve">: </w:t>
      </w:r>
      <w:r w:rsidRPr="00D23846">
        <w:rPr>
          <w:bCs/>
        </w:rPr>
        <w:t>A</w:t>
      </w:r>
      <w:r>
        <w:t xml:space="preserve"> toxicidade deve ser monitorada com metadona particularmente no início da dose, escalonamentos e em populações de alto risco</w:t>
      </w:r>
    </w:p>
    <w:p w14:paraId="69029A54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23E768CD" w14:textId="77777777" w:rsidR="00647EAF" w:rsidRDefault="003F757C">
      <w:pPr>
        <w:pStyle w:val="P68B1DB1-ListParagraph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Prolongamento do intervalo QTc e Torsades de Pointes são efeitos colaterais comuns conhecidos da metadona quando usada para o tratamento da dor aguda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Falso:</w:t>
      </w:r>
      <w:r>
        <w:rPr>
          <w:rFonts w:ascii="Arial" w:hAnsi="Arial" w:cs="Arial"/>
        </w:rPr>
        <w:t xml:space="preserve"> a </w:t>
      </w:r>
      <w:r>
        <w:rPr>
          <w:rFonts w:ascii="Arial" w:eastAsia="Times New Roman" w:hAnsi="Arial" w:cs="Arial"/>
          <w:color w:val="000000"/>
        </w:rPr>
        <w:t xml:space="preserve">metadona pode prolongar o intervalo QTc em doses elevadas e com uso contínuo. Um único bolus de metadona não foi associado a uma maior incidência de eventos cardíacos em ensaios clínicos </w:t>
      </w:r>
    </w:p>
    <w:p w14:paraId="7FAC439B" w14:textId="77777777" w:rsidR="00647EAF" w:rsidRDefault="00647EAF">
      <w:pPr>
        <w:spacing w:after="0" w:line="240" w:lineRule="auto"/>
        <w:rPr>
          <w:rFonts w:ascii="Arial" w:hAnsi="Arial" w:cs="Arial"/>
          <w:sz w:val="18"/>
        </w:rPr>
      </w:pPr>
    </w:p>
    <w:p w14:paraId="0EAA87EC" w14:textId="5071B85D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>A metadona não tem propriedades anti-neuropáticas</w:t>
      </w:r>
      <w:r>
        <w:br/>
      </w:r>
      <w:r>
        <w:rPr>
          <w:b/>
        </w:rPr>
        <w:t xml:space="preserve"> Fals</w:t>
      </w:r>
      <w:r w:rsidR="00B42603">
        <w:rPr>
          <w:b/>
        </w:rPr>
        <w:t>o</w:t>
      </w:r>
      <w:r>
        <w:rPr>
          <w:b/>
        </w:rPr>
        <w:t>:</w:t>
      </w:r>
      <w:r>
        <w:t xml:space="preserve"> A inibição da recaptação de NMDA, 5HT3 e NA da metadona é benéfica na redução da dor neuropática (alodinia, hiperalgesia e transição de dor aguda para dor crônica) após cirurgia complexa</w:t>
      </w:r>
    </w:p>
    <w:p w14:paraId="3F2D30E4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43B97198" w14:textId="77777777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 xml:space="preserve">Uma dose única de metadona não aumenta os riscos de comprometimento cardiorrespiratório em todos os grupos de pacientes. </w:t>
      </w:r>
      <w:r>
        <w:br/>
      </w:r>
      <w:r>
        <w:rPr>
          <w:b/>
        </w:rPr>
        <w:t xml:space="preserve">Falso: </w:t>
      </w:r>
      <w:r>
        <w:t xml:space="preserve">Uma dose única de metadona ainda pode ter efeitos colaterais significativos, particularmente nos grupos de pacientes de alto risco e sem uso de opioides. Os médicos devem ter um limiar baixo para aumentar o monitoramento cardiorrespiratório em pacientes de alto risco </w:t>
      </w:r>
    </w:p>
    <w:p w14:paraId="3C47BB19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26E1709F" w14:textId="77777777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>Pacientes de baixo risco em uso de metadona não necessitam de ECGs diários</w:t>
      </w:r>
      <w:r>
        <w:br/>
      </w:r>
      <w:r>
        <w:rPr>
          <w:b/>
        </w:rPr>
        <w:t xml:space="preserve"> Falso:</w:t>
      </w:r>
      <w:r>
        <w:t xml:space="preserve"> Apesar do baixo risco, a maioria dos especialistas sugere que todos os pacientes que recebem metadona devem ter uma análise diária de ECG</w:t>
      </w:r>
    </w:p>
    <w:p w14:paraId="31AA42A1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6BCADD2C" w14:textId="2AB01976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>A duração da ação da metadona é variável em pacientes saudáveis devido a grandes variações na expressão do CYP2B.</w:t>
      </w:r>
      <w:r w:rsidRPr="00B42603">
        <w:rPr>
          <w:b/>
          <w:bCs/>
        </w:rPr>
        <w:t>Verdade</w:t>
      </w:r>
      <w:r w:rsidR="00B42603" w:rsidRPr="00B42603">
        <w:rPr>
          <w:b/>
          <w:bCs/>
        </w:rPr>
        <w:t>iro</w:t>
      </w:r>
      <w:r w:rsidRPr="00B42603">
        <w:rPr>
          <w:b/>
          <w:bCs/>
        </w:rPr>
        <w:t>:</w:t>
      </w:r>
      <w:r>
        <w:rPr>
          <w:b/>
        </w:rPr>
        <w:t xml:space="preserve"> </w:t>
      </w:r>
      <w:r w:rsidRPr="00D23846">
        <w:rPr>
          <w:bCs/>
        </w:rPr>
        <w:t xml:space="preserve">Está </w:t>
      </w:r>
      <w:r>
        <w:t>agora estabelecido que a metadona é metabolizada pelas enzimas CPY2B6, e variações interindividuais são responsáveis por diferentes tempos de meia-vida.</w:t>
      </w:r>
    </w:p>
    <w:p w14:paraId="6093D426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223E96B0" w14:textId="1FAF9713" w:rsidR="00647EAF" w:rsidRPr="00D23846" w:rsidRDefault="003F757C" w:rsidP="00D23846">
      <w:pPr>
        <w:pStyle w:val="P68B1DB1-ListParagraph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ação agonista-antagonista mista da buprenorfina confere um efeito teto sobre a analgesia e </w:t>
      </w:r>
      <w:r w:rsidR="00F60CE2">
        <w:rPr>
          <w:rFonts w:ascii="Arial" w:hAnsi="Arial" w:cs="Arial"/>
        </w:rPr>
        <w:t>sobre</w:t>
      </w:r>
      <w:r w:rsidR="00D163B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depressão</w:t>
      </w:r>
      <w:r w:rsidR="00D163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respiratória</w:t>
      </w:r>
      <w:r w:rsidR="00D23846">
        <w:rPr>
          <w:rFonts w:ascii="Arial" w:hAnsi="Arial" w:cs="Arial"/>
        </w:rPr>
        <w:t xml:space="preserve">. </w:t>
      </w:r>
      <w:r w:rsidRPr="00D23846">
        <w:rPr>
          <w:rFonts w:ascii="Arial" w:hAnsi="Arial" w:cs="Arial"/>
          <w:b/>
          <w:bCs/>
        </w:rPr>
        <w:t>Fals</w:t>
      </w:r>
      <w:r w:rsidR="00B42603">
        <w:rPr>
          <w:rFonts w:ascii="Arial" w:hAnsi="Arial" w:cs="Arial"/>
          <w:b/>
          <w:bCs/>
        </w:rPr>
        <w:t>o</w:t>
      </w:r>
      <w:r w:rsidRPr="00D23846">
        <w:rPr>
          <w:rFonts w:ascii="Arial" w:hAnsi="Arial" w:cs="Arial"/>
          <w:b/>
        </w:rPr>
        <w:t>:</w:t>
      </w:r>
      <w:r w:rsidRPr="00D23846">
        <w:rPr>
          <w:rFonts w:ascii="Arial" w:hAnsi="Arial" w:cs="Arial"/>
        </w:rPr>
        <w:t xml:space="preserve"> </w:t>
      </w:r>
      <w:r w:rsidRPr="00D23846">
        <w:rPr>
          <w:rFonts w:ascii="Arial" w:eastAsia="Times New Roman" w:hAnsi="Arial" w:cs="Arial"/>
          <w:color w:val="000000"/>
        </w:rPr>
        <w:t xml:space="preserve">Apesar de ser agonista-antagonista mista, a buprenorfina não confere efeito teto sobre a analgesia </w:t>
      </w:r>
      <w:r w:rsidR="00D163B1">
        <w:rPr>
          <w:rFonts w:ascii="Arial" w:eastAsia="Times New Roman" w:hAnsi="Arial" w:cs="Arial"/>
          <w:color w:val="000000"/>
        </w:rPr>
        <w:t>e sobre a</w:t>
      </w:r>
      <w:r w:rsidRPr="00D23846">
        <w:rPr>
          <w:rFonts w:ascii="Arial" w:eastAsia="Times New Roman" w:hAnsi="Arial" w:cs="Arial"/>
          <w:color w:val="000000"/>
        </w:rPr>
        <w:t xml:space="preserve"> </w:t>
      </w:r>
      <w:r w:rsidRPr="00D23846">
        <w:rPr>
          <w:rFonts w:ascii="Arial" w:eastAsia="Times New Roman" w:hAnsi="Arial" w:cs="Arial"/>
          <w:color w:val="000000"/>
        </w:rPr>
        <w:t>depressão respiratória</w:t>
      </w:r>
    </w:p>
    <w:p w14:paraId="5627B275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4BF60826" w14:textId="25EBF687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>A buprenorfina tem metabólitos ativos</w:t>
      </w:r>
      <w:r>
        <w:br/>
      </w:r>
      <w:r>
        <w:rPr>
          <w:b/>
        </w:rPr>
        <w:t xml:space="preserve"> Verdadeiro:</w:t>
      </w:r>
      <w:r>
        <w:t xml:space="preserve"> A buprenorfina tem metabólitos ativos (</w:t>
      </w:r>
      <w:proofErr w:type="spellStart"/>
      <w:r>
        <w:t>norbuprenorfina</w:t>
      </w:r>
      <w:proofErr w:type="spellEnd"/>
      <w:r>
        <w:t xml:space="preserve">) que </w:t>
      </w:r>
      <w:r w:rsidR="00C3040E">
        <w:t>apresentam</w:t>
      </w:r>
      <w:r>
        <w:t xml:space="preserve"> 25% </w:t>
      </w:r>
      <w:r w:rsidR="00C3040E">
        <w:t>da</w:t>
      </w:r>
      <w:r>
        <w:t xml:space="preserve"> </w:t>
      </w:r>
      <w:r w:rsidR="00C3040E">
        <w:t xml:space="preserve">potência da </w:t>
      </w:r>
      <w:r>
        <w:t>buprenorfina</w:t>
      </w:r>
    </w:p>
    <w:p w14:paraId="38A364E2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6F620C16" w14:textId="77777777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 xml:space="preserve">A buprenorfina pode ser usada com segurança em pacientes com insuficiência renal </w:t>
      </w:r>
      <w:r>
        <w:br/>
      </w:r>
      <w:r>
        <w:rPr>
          <w:b/>
        </w:rPr>
        <w:t>Verdadeiro:</w:t>
      </w:r>
      <w:r>
        <w:t xml:space="preserve"> A buprenorfina pode ser usada com segurança em pacientes com insuficiência renal, pois 70% é excretada nas fezes</w:t>
      </w:r>
    </w:p>
    <w:p w14:paraId="1F76ADF7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26FCADE1" w14:textId="21DEFE26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lastRenderedPageBreak/>
        <w:t>A buprenorfina oral é tão eficaz quanto a buprenorfina sublingual</w:t>
      </w:r>
      <w:r>
        <w:br/>
      </w:r>
      <w:r>
        <w:rPr>
          <w:b/>
        </w:rPr>
        <w:t xml:space="preserve"> Falso:</w:t>
      </w:r>
      <w:r>
        <w:t xml:space="preserve"> A biodisponibilidade da buprenorfina oral é extremamente </w:t>
      </w:r>
      <w:r w:rsidR="00410156">
        <w:t>limitada</w:t>
      </w:r>
      <w:r>
        <w:t xml:space="preserve"> devido ao metabolismo de primeira passagem, portanto, a </w:t>
      </w:r>
      <w:r w:rsidR="004E4407">
        <w:t>via</w:t>
      </w:r>
      <w:r>
        <w:t xml:space="preserve"> oral não é recomendada</w:t>
      </w:r>
    </w:p>
    <w:p w14:paraId="46A75FB6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1E0FB431" w14:textId="1B448D2F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 xml:space="preserve">Preparações sublinguais e transdérmicas permitem o tratamento de pacientes que permanecem </w:t>
      </w:r>
      <w:r w:rsidR="004E4407">
        <w:t>com restrição a dieta oral</w:t>
      </w:r>
      <w:r>
        <w:t xml:space="preserve"> pós-</w:t>
      </w:r>
      <w:proofErr w:type="spellStart"/>
      <w:r>
        <w:t>operatoriamente</w:t>
      </w:r>
      <w:proofErr w:type="spellEnd"/>
      <w:r>
        <w:t xml:space="preserve"> </w:t>
      </w:r>
      <w:r>
        <w:br/>
      </w:r>
      <w:r>
        <w:rPr>
          <w:b/>
        </w:rPr>
        <w:t>Verdadeiro:</w:t>
      </w:r>
      <w:r>
        <w:t xml:space="preserve"> As preparações sublinguais e transdérmicas são excelentes para o tratamento de pacientes que estão nauseados, tiveram grandes cirurgias de cabeça e pescoço e pacientes que </w:t>
      </w:r>
      <w:r w:rsidR="004E4407">
        <w:t>permanecem com restrição a dieta oral</w:t>
      </w:r>
      <w:r>
        <w:t xml:space="preserve">. Isso pode ser instituído sob a equipe do Serviço de Dor Aguda, apenas supervisão. </w:t>
      </w:r>
    </w:p>
    <w:p w14:paraId="5B8084EE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6C788316" w14:textId="22FA819C" w:rsidR="00647EAF" w:rsidRDefault="003F757C">
      <w:pPr>
        <w:pStyle w:val="P68B1DB1-ListParagraph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042A2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transdérmica é um método eficaz e conveniente de tratar a dor que deve durar vários dias.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 Verdade</w:t>
      </w:r>
      <w:r w:rsidR="00B42603">
        <w:rPr>
          <w:rFonts w:ascii="Arial" w:hAnsi="Arial" w:cs="Arial"/>
          <w:b/>
        </w:rPr>
        <w:t>iro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a buprenorfina transdérmica </w:t>
      </w:r>
      <w:r>
        <w:rPr>
          <w:rFonts w:ascii="Arial" w:eastAsia="Times New Roman" w:hAnsi="Arial" w:cs="Arial"/>
          <w:color w:val="000000"/>
        </w:rPr>
        <w:t>pode tratar a dor severa que deve durar vários dias. A necessidade reduzida de do</w:t>
      </w:r>
      <w:r w:rsidR="00A042A2">
        <w:rPr>
          <w:rFonts w:ascii="Arial" w:eastAsia="Times New Roman" w:hAnsi="Arial" w:cs="Arial"/>
          <w:color w:val="000000"/>
        </w:rPr>
        <w:t xml:space="preserve">ses </w:t>
      </w:r>
      <w:r>
        <w:rPr>
          <w:rFonts w:ascii="Arial" w:eastAsia="Times New Roman" w:hAnsi="Arial" w:cs="Arial"/>
          <w:color w:val="000000"/>
        </w:rPr>
        <w:t>frequente</w:t>
      </w:r>
      <w:r w:rsidR="00A042A2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 não é apenas </w:t>
      </w:r>
      <w:r>
        <w:rPr>
          <w:rFonts w:ascii="Arial" w:eastAsia="Times New Roman" w:hAnsi="Arial" w:cs="Arial"/>
          <w:color w:val="000000"/>
        </w:rPr>
        <w:t>conveniente para o clínico, mas também para o paciente</w:t>
      </w:r>
      <w:r w:rsidR="00A042A2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que diminui</w:t>
      </w:r>
      <w:r>
        <w:rPr>
          <w:rFonts w:ascii="Arial" w:eastAsia="Times New Roman" w:hAnsi="Arial" w:cs="Arial"/>
          <w:color w:val="000000"/>
        </w:rPr>
        <w:t xml:space="preserve"> a 'carga da </w:t>
      </w:r>
      <w:proofErr w:type="gramStart"/>
      <w:r>
        <w:rPr>
          <w:rFonts w:ascii="Arial" w:eastAsia="Times New Roman" w:hAnsi="Arial" w:cs="Arial"/>
          <w:color w:val="000000"/>
        </w:rPr>
        <w:t>pílula‘</w:t>
      </w:r>
      <w:proofErr w:type="gramEnd"/>
      <w:r>
        <w:rPr>
          <w:rFonts w:ascii="Arial" w:eastAsia="Times New Roman" w:hAnsi="Arial" w:cs="Arial"/>
          <w:color w:val="000000"/>
        </w:rPr>
        <w:t>, o que pode aumentar a adesão</w:t>
      </w:r>
    </w:p>
    <w:p w14:paraId="6649E105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3B4A6ABD" w14:textId="77777777" w:rsidR="00647EAF" w:rsidRDefault="003F757C">
      <w:pPr>
        <w:pStyle w:val="P68B1DB1-ListParagraph4"/>
        <w:numPr>
          <w:ilvl w:val="0"/>
          <w:numId w:val="1"/>
        </w:numPr>
        <w:spacing w:after="0" w:line="240" w:lineRule="auto"/>
      </w:pPr>
      <w:r>
        <w:t xml:space="preserve">A buprenorfina transdérmica pode levar de 24 a 48 horas para atingir o estado estacionário durante o qual a </w:t>
      </w:r>
      <w:r w:rsidRPr="00067F67">
        <w:rPr>
          <w:highlight w:val="yellow"/>
        </w:rPr>
        <w:t>analgesia inovadora do PRN</w:t>
      </w:r>
      <w:r>
        <w:t xml:space="preserve"> pode ser necessária.</w:t>
      </w:r>
      <w:r>
        <w:br/>
      </w:r>
      <w:r>
        <w:rPr>
          <w:b/>
        </w:rPr>
        <w:t xml:space="preserve"> Verdadeiro: </w:t>
      </w:r>
      <w:r w:rsidRPr="00067F67">
        <w:rPr>
          <w:highlight w:val="yellow"/>
        </w:rPr>
        <w:t>A analgesia inovadora do PRN</w:t>
      </w:r>
      <w:r>
        <w:t xml:space="preserve">, como a buprenorfina sublingual, pode ser usada até que a buprenorfina transdérmica tenha atingido o estado estacionário. </w:t>
      </w:r>
    </w:p>
    <w:p w14:paraId="30ED9A0C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263B797B" w14:textId="77777777" w:rsidR="00647EAF" w:rsidRDefault="003F757C">
      <w:pPr>
        <w:pStyle w:val="P68B1DB1-ListParagraph3"/>
        <w:numPr>
          <w:ilvl w:val="0"/>
          <w:numId w:val="1"/>
        </w:numPr>
        <w:spacing w:after="0" w:line="240" w:lineRule="auto"/>
        <w:rPr>
          <w:rFonts w:ascii="Arial" w:hAnsi="Arial" w:cs="Arial"/>
          <w:highlight w:val="lightGray"/>
        </w:rPr>
      </w:pPr>
      <w:r>
        <w:rPr>
          <w:rFonts w:ascii="Arial" w:eastAsia="Times New Roman" w:hAnsi="Arial" w:cs="Arial"/>
          <w:color w:val="000000"/>
        </w:rPr>
        <w:t>A buprenorfina deve ser usada com extrema cautela em conjunto com benzodiazepínicos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  <w:b/>
        </w:rPr>
        <w:t xml:space="preserve"> Verdadeiro: </w:t>
      </w:r>
      <w:r>
        <w:rPr>
          <w:rFonts w:ascii="Arial" w:eastAsia="Times New Roman" w:hAnsi="Arial" w:cs="Arial"/>
          <w:color w:val="000000"/>
        </w:rPr>
        <w:t>Houve várias mortes relatadas na literatura quando a buprenorfina foi usada ao lado de benzodiazepínicos. C</w:t>
      </w:r>
      <w:r w:rsidRPr="003F757C">
        <w:rPr>
          <w:rFonts w:ascii="Arial" w:eastAsia="Times New Roman" w:hAnsi="Arial" w:cs="Arial"/>
          <w:color w:val="000000"/>
          <w:highlight w:val="yellow"/>
        </w:rPr>
        <w:t>atiões extremos</w:t>
      </w:r>
      <w:r>
        <w:rPr>
          <w:rFonts w:ascii="Arial" w:eastAsia="Times New Roman" w:hAnsi="Arial" w:cs="Arial"/>
          <w:color w:val="000000"/>
        </w:rPr>
        <w:t xml:space="preserve"> ou terapia alternativa devem ser considerados nestas circunstâncias</w:t>
      </w:r>
      <w:r>
        <w:rPr>
          <w:rFonts w:ascii="Arial" w:eastAsia="Times New Roman" w:hAnsi="Arial" w:cs="Arial"/>
          <w:color w:val="000000"/>
          <w:highlight w:val="lightGray"/>
        </w:rPr>
        <w:t xml:space="preserve">. </w:t>
      </w:r>
    </w:p>
    <w:p w14:paraId="52B02339" w14:textId="77777777" w:rsidR="00647EAF" w:rsidRDefault="00647EAF">
      <w:pPr>
        <w:pStyle w:val="PargrafodaLista"/>
        <w:spacing w:after="0" w:line="240" w:lineRule="auto"/>
        <w:rPr>
          <w:rFonts w:ascii="Arial" w:hAnsi="Arial" w:cs="Arial"/>
          <w:sz w:val="18"/>
        </w:rPr>
      </w:pPr>
    </w:p>
    <w:p w14:paraId="4A441CBF" w14:textId="77777777" w:rsidR="00647EAF" w:rsidRDefault="003F757C">
      <w:pPr>
        <w:pStyle w:val="P68B1DB1-ListParagraph2"/>
        <w:numPr>
          <w:ilvl w:val="0"/>
          <w:numId w:val="1"/>
        </w:numPr>
        <w:spacing w:after="0" w:line="240" w:lineRule="auto"/>
      </w:pPr>
      <w:r>
        <w:t xml:space="preserve">A depressão respiratória relacionada ao uso de metadona ou buprenorfina pode ser revertida com um único bolus de naloxona </w:t>
      </w:r>
      <w:r>
        <w:br/>
      </w:r>
      <w:r>
        <w:rPr>
          <w:b/>
        </w:rPr>
        <w:t>Falso:</w:t>
      </w:r>
      <w:r>
        <w:t xml:space="preserve"> Devido à meia-vida mais curta da naloxona em comparação com a metadona e a buprenorfina, uma infusão de naloxona deve ser considerada no início da toxicidade respiratória secundária à metadona e/ou buprenorfina </w:t>
      </w:r>
    </w:p>
    <w:p w14:paraId="320F9977" w14:textId="77777777" w:rsidR="00647EAF" w:rsidRDefault="00647EAF">
      <w:pPr>
        <w:spacing w:after="0" w:line="240" w:lineRule="auto"/>
        <w:rPr>
          <w:rFonts w:ascii="Arial" w:hAnsi="Arial" w:cs="Arial"/>
          <w:sz w:val="18"/>
        </w:rPr>
      </w:pPr>
    </w:p>
    <w:p w14:paraId="755ABFB0" w14:textId="77777777" w:rsidR="00647EAF" w:rsidRDefault="00647EAF"/>
    <w:sectPr w:rsidR="00647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55D4"/>
    <w:multiLevelType w:val="hybridMultilevel"/>
    <w:tmpl w:val="00DE95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86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AE"/>
    <w:rsid w:val="000017E5"/>
    <w:rsid w:val="00067F67"/>
    <w:rsid w:val="000A5B1E"/>
    <w:rsid w:val="000A5C9A"/>
    <w:rsid w:val="000D59A5"/>
    <w:rsid w:val="000D5E78"/>
    <w:rsid w:val="000F1006"/>
    <w:rsid w:val="001007B0"/>
    <w:rsid w:val="00112165"/>
    <w:rsid w:val="001627E7"/>
    <w:rsid w:val="00163E3B"/>
    <w:rsid w:val="0030711F"/>
    <w:rsid w:val="003516F1"/>
    <w:rsid w:val="003648AC"/>
    <w:rsid w:val="003A3977"/>
    <w:rsid w:val="003B12A4"/>
    <w:rsid w:val="003F757C"/>
    <w:rsid w:val="00410156"/>
    <w:rsid w:val="004735D1"/>
    <w:rsid w:val="00476669"/>
    <w:rsid w:val="004E4407"/>
    <w:rsid w:val="00511737"/>
    <w:rsid w:val="0051785E"/>
    <w:rsid w:val="00577C28"/>
    <w:rsid w:val="00647EAF"/>
    <w:rsid w:val="006B4006"/>
    <w:rsid w:val="007A3E5E"/>
    <w:rsid w:val="007D0058"/>
    <w:rsid w:val="007F5BAE"/>
    <w:rsid w:val="00804CB4"/>
    <w:rsid w:val="008B27E6"/>
    <w:rsid w:val="009210BD"/>
    <w:rsid w:val="00955D07"/>
    <w:rsid w:val="00991981"/>
    <w:rsid w:val="00A042A2"/>
    <w:rsid w:val="00A13203"/>
    <w:rsid w:val="00A704DB"/>
    <w:rsid w:val="00AF21D6"/>
    <w:rsid w:val="00B03B89"/>
    <w:rsid w:val="00B42603"/>
    <w:rsid w:val="00BB7F93"/>
    <w:rsid w:val="00BC1DC8"/>
    <w:rsid w:val="00BF4ECB"/>
    <w:rsid w:val="00C3040E"/>
    <w:rsid w:val="00C94472"/>
    <w:rsid w:val="00D163B1"/>
    <w:rsid w:val="00D23846"/>
    <w:rsid w:val="00D51E34"/>
    <w:rsid w:val="00DD5CD7"/>
    <w:rsid w:val="00E56A95"/>
    <w:rsid w:val="00EB08E5"/>
    <w:rsid w:val="00EF78C3"/>
    <w:rsid w:val="00F60CE2"/>
    <w:rsid w:val="00FC18CB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B1A6"/>
  <w15:chartTrackingRefBased/>
  <w15:docId w15:val="{74CE79EF-BF37-C641-A261-41FB02C7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E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5BA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F5BAE"/>
    <w:rPr>
      <w:sz w:val="16"/>
    </w:rPr>
  </w:style>
  <w:style w:type="paragraph" w:customStyle="1" w:styleId="P68B1DB1-Normal1">
    <w:name w:val="P68B1DB1-Normal1"/>
    <w:basedOn w:val="Normal"/>
    <w:rPr>
      <w:rFonts w:ascii="Arial" w:hAnsi="Arial" w:cs="Arial"/>
      <w:b/>
      <w:sz w:val="24"/>
    </w:rPr>
  </w:style>
  <w:style w:type="paragraph" w:customStyle="1" w:styleId="P68B1DB1-ListParagraph2">
    <w:name w:val="P68B1DB1-ListParagraph2"/>
    <w:basedOn w:val="PargrafodaLista"/>
    <w:rPr>
      <w:rFonts w:ascii="Arial" w:hAnsi="Arial" w:cs="Arial"/>
      <w:sz w:val="18"/>
    </w:rPr>
  </w:style>
  <w:style w:type="paragraph" w:customStyle="1" w:styleId="P68B1DB1-ListParagraph3">
    <w:name w:val="P68B1DB1-ListParagraph3"/>
    <w:basedOn w:val="PargrafodaLista"/>
    <w:rPr>
      <w:sz w:val="18"/>
    </w:rPr>
  </w:style>
  <w:style w:type="paragraph" w:customStyle="1" w:styleId="P68B1DB1-ListParagraph4">
    <w:name w:val="P68B1DB1-ListParagraph4"/>
    <w:basedOn w:val="PargrafodaLista"/>
    <w:rPr>
      <w:rFonts w:ascii="Arial" w:eastAsia="Times New Roman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7E704-27BF-4F47-81F3-06808B95BEB5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customXml/itemProps2.xml><?xml version="1.0" encoding="utf-8"?>
<ds:datastoreItem xmlns:ds="http://schemas.openxmlformats.org/officeDocument/2006/customXml" ds:itemID="{BF9A662E-62B9-4E0B-BCE1-2E40D1780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6AFD0-8F68-4C45-9539-08E3B3C29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912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Lilaonitkul, Maytinee</dc:creator>
  <cp:keywords/>
  <dc:description/>
  <cp:lastModifiedBy>Thiago Lima Barreto</cp:lastModifiedBy>
  <cp:revision>10</cp:revision>
  <dcterms:created xsi:type="dcterms:W3CDTF">2024-04-17T22:09:00Z</dcterms:created>
  <dcterms:modified xsi:type="dcterms:W3CDTF">2024-04-17T22:18:00Z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MediaServiceImageTags">
    <vt:lpwstr/>
  </property>
</Properties>
</file>