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4BC" w14:textId="77777777" w:rsidR="00CE60AD" w:rsidRDefault="00DD6B63">
      <w:pPr>
        <w:pStyle w:val="Corpodetexto"/>
        <w:rPr>
          <w:rFonts w:ascii="Times New Roman"/>
          <w:sz w:val="20"/>
        </w:rPr>
      </w:pPr>
      <w:r>
        <w:pict w14:anchorId="7ADD91C7">
          <v:group id="docshapegroup4" o:spid="_x0000_s2057" style="position:absolute;margin-left:0;margin-top:0;width:612pt;height:42.3pt;z-index:-15879168;mso-position-horizontal-relative:page;mso-position-vertical-relative:page" coordsize="12240,846">
            <v:rect id="docshape5" o:spid="_x0000_s2060" style="position:absolute;width:12240;height:846" fillcolor="#7e7e7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9" type="#_x0000_t202" style="position:absolute;left:1152;top:370;width:1115;height:319" filled="f" stroked="f">
              <v:textbox inset="0,0,0,0">
                <w:txbxContent>
                  <w:p w14:paraId="6410FB72" w14:textId="77777777" w:rsidR="00CE60AD" w:rsidRDefault="00DD6B63">
                    <w:pPr>
                      <w:pStyle w:val="P68B1DB1-Normal1"/>
                      <w:spacing w:line="319" w:lineRule="exact"/>
                    </w:pPr>
                    <w:r>
                      <w:t xml:space="preserve">DOR </w:t>
                    </w:r>
                  </w:p>
                </w:txbxContent>
              </v:textbox>
            </v:shape>
            <v:shape id="docshape7" o:spid="_x0000_s2058" type="#_x0000_t202" style="position:absolute;left:8900;top:370;width:2208;height:319" filled="f" stroked="f">
              <v:textbox inset="0,0,0,0">
                <w:txbxContent>
                  <w:p w14:paraId="492DD197" w14:textId="77777777" w:rsidR="00CE60AD" w:rsidRDefault="00DD6B63">
                    <w:pPr>
                      <w:pStyle w:val="P68B1DB1-Normal1"/>
                      <w:spacing w:line="319" w:lineRule="exact"/>
                    </w:pPr>
                    <w:r>
                      <w:t>Tutorial 472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1C72E5E" w14:textId="77777777" w:rsidR="00CE60AD" w:rsidRDefault="00CE60AD">
      <w:pPr>
        <w:pStyle w:val="Corpodetexto"/>
        <w:rPr>
          <w:rFonts w:ascii="Times New Roman"/>
          <w:sz w:val="20"/>
        </w:rPr>
      </w:pPr>
    </w:p>
    <w:p w14:paraId="714A9F77" w14:textId="77777777" w:rsidR="00CE60AD" w:rsidRDefault="00CE60AD">
      <w:pPr>
        <w:pStyle w:val="Corpodetexto"/>
        <w:rPr>
          <w:rFonts w:ascii="Times New Roman"/>
          <w:sz w:val="20"/>
        </w:rPr>
      </w:pPr>
    </w:p>
    <w:p w14:paraId="56D497D5" w14:textId="77777777" w:rsidR="00CE60AD" w:rsidRDefault="00CE60AD">
      <w:pPr>
        <w:pStyle w:val="Corpodetexto"/>
        <w:rPr>
          <w:rFonts w:ascii="Times New Roman"/>
          <w:sz w:val="20"/>
        </w:rPr>
      </w:pPr>
    </w:p>
    <w:p w14:paraId="34D1AD1B" w14:textId="77777777" w:rsidR="00CE60AD" w:rsidRDefault="00CE60AD">
      <w:pPr>
        <w:pStyle w:val="Corpodetexto"/>
        <w:rPr>
          <w:rFonts w:ascii="Times New Roman"/>
          <w:sz w:val="20"/>
        </w:rPr>
      </w:pPr>
    </w:p>
    <w:p w14:paraId="6AEABFC5" w14:textId="77777777" w:rsidR="00CE60AD" w:rsidRDefault="00CE60AD">
      <w:pPr>
        <w:pStyle w:val="Corpodetexto"/>
        <w:rPr>
          <w:rFonts w:ascii="Times New Roman"/>
          <w:sz w:val="20"/>
        </w:rPr>
      </w:pPr>
    </w:p>
    <w:p w14:paraId="4ACBD609" w14:textId="77777777" w:rsidR="00CE60AD" w:rsidRDefault="00CE60AD">
      <w:pPr>
        <w:pStyle w:val="Corpodetexto"/>
        <w:spacing w:before="8"/>
        <w:rPr>
          <w:rFonts w:ascii="Times New Roman"/>
        </w:rPr>
      </w:pPr>
    </w:p>
    <w:p w14:paraId="08DEFFA6" w14:textId="77777777" w:rsidR="00CE60AD" w:rsidRDefault="00DD6B63">
      <w:pPr>
        <w:pStyle w:val="Ttulo"/>
        <w:spacing w:line="228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12E6892" wp14:editId="0C6E6476">
            <wp:simplePos x="0" y="0"/>
            <wp:positionH relativeFrom="page">
              <wp:posOffset>5482793</wp:posOffset>
            </wp:positionH>
            <wp:positionV relativeFrom="paragraph">
              <wp:posOffset>81721</wp:posOffset>
            </wp:positionV>
            <wp:extent cx="1556638" cy="18741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8" cy="187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Metadona e Buprenorfina para o tratamento da dor aguda pós-operatória</w:t>
      </w:r>
    </w:p>
    <w:p w14:paraId="6E0237C1" w14:textId="77777777" w:rsidR="00CE60AD" w:rsidRDefault="00CE60AD">
      <w:pPr>
        <w:pStyle w:val="Corpodetexto"/>
        <w:spacing w:before="1"/>
        <w:rPr>
          <w:sz w:val="41"/>
        </w:rPr>
      </w:pPr>
    </w:p>
    <w:p w14:paraId="13DD1536" w14:textId="77777777" w:rsidR="00F32ADC" w:rsidRDefault="00DD6B63" w:rsidP="00F32ADC">
      <w:pPr>
        <w:pStyle w:val="P68B1DB1-Normal2"/>
        <w:ind w:left="112"/>
        <w:rPr>
          <w:szCs w:val="22"/>
          <w:vertAlign w:val="superscript"/>
        </w:rPr>
      </w:pPr>
      <w:r w:rsidRPr="00D82498">
        <w:rPr>
          <w:szCs w:val="22"/>
        </w:rPr>
        <w:t>Dr Shravya Karna</w:t>
      </w:r>
      <w:r w:rsidRPr="00D82498">
        <w:rPr>
          <w:szCs w:val="22"/>
          <w:vertAlign w:val="superscript"/>
        </w:rPr>
        <w:t>1†</w:t>
      </w:r>
      <w:r w:rsidRPr="00D82498">
        <w:rPr>
          <w:szCs w:val="22"/>
        </w:rPr>
        <w:t>, Dr Alex Konstantatos</w:t>
      </w:r>
      <w:r w:rsidRPr="00D82498">
        <w:rPr>
          <w:szCs w:val="22"/>
          <w:vertAlign w:val="superscript"/>
        </w:rPr>
        <w:t>2</w:t>
      </w:r>
    </w:p>
    <w:p w14:paraId="6DB01CBF" w14:textId="77777777" w:rsidR="008F1D88" w:rsidRPr="00D82498" w:rsidRDefault="008F1D88" w:rsidP="00F32ADC">
      <w:pPr>
        <w:pStyle w:val="P68B1DB1-Normal2"/>
        <w:ind w:left="112"/>
        <w:rPr>
          <w:szCs w:val="22"/>
          <w:vertAlign w:val="superscript"/>
        </w:rPr>
      </w:pPr>
    </w:p>
    <w:p w14:paraId="38CE988F" w14:textId="1984B9EA" w:rsidR="00CE60AD" w:rsidRPr="008F1D88" w:rsidRDefault="00DD6B63" w:rsidP="00F32ADC">
      <w:pPr>
        <w:pStyle w:val="P68B1DB1-Normal2"/>
        <w:ind w:left="112"/>
        <w:rPr>
          <w:sz w:val="18"/>
          <w:szCs w:val="18"/>
        </w:rPr>
      </w:pPr>
      <w:r w:rsidRPr="008F1D88">
        <w:rPr>
          <w:sz w:val="18"/>
          <w:szCs w:val="18"/>
          <w:vertAlign w:val="superscript"/>
        </w:rPr>
        <w:t>1</w:t>
      </w:r>
      <w:r w:rsidRPr="008F1D88">
        <w:rPr>
          <w:sz w:val="18"/>
          <w:szCs w:val="18"/>
        </w:rPr>
        <w:t>Companheiro anestésico, The Alfred, Melbourne, Australia</w:t>
      </w:r>
    </w:p>
    <w:p w14:paraId="68BF8003" w14:textId="77777777" w:rsidR="00CE60AD" w:rsidRPr="008F1D88" w:rsidRDefault="00DD6B63">
      <w:pPr>
        <w:pStyle w:val="P68B1DB1-BodyText3"/>
        <w:spacing w:before="13"/>
        <w:ind w:left="112"/>
        <w:rPr>
          <w:szCs w:val="18"/>
        </w:rPr>
      </w:pPr>
      <w:r w:rsidRPr="008F1D88">
        <w:rPr>
          <w:szCs w:val="18"/>
          <w:vertAlign w:val="superscript"/>
        </w:rPr>
        <w:t>2</w:t>
      </w:r>
      <w:r w:rsidRPr="008F1D88">
        <w:rPr>
          <w:szCs w:val="18"/>
        </w:rPr>
        <w:t xml:space="preserve">Consultor </w:t>
      </w:r>
      <w:r w:rsidRPr="008F1D88">
        <w:rPr>
          <w:szCs w:val="18"/>
        </w:rPr>
        <w:t>anestésico, The Alfred, Melbourne, Australia</w:t>
      </w:r>
    </w:p>
    <w:p w14:paraId="159ED9AB" w14:textId="77777777" w:rsidR="00CE60AD" w:rsidRPr="00D82498" w:rsidRDefault="00CE60AD">
      <w:pPr>
        <w:pStyle w:val="Corpodetexto"/>
        <w:spacing w:before="1"/>
        <w:rPr>
          <w:sz w:val="22"/>
          <w:szCs w:val="22"/>
        </w:rPr>
      </w:pPr>
    </w:p>
    <w:p w14:paraId="0A114227" w14:textId="77777777" w:rsidR="00CE60AD" w:rsidRPr="00712549" w:rsidRDefault="00DD6B63">
      <w:pPr>
        <w:pStyle w:val="P68B1DB1-BodyText3"/>
        <w:spacing w:line="254" w:lineRule="auto"/>
        <w:ind w:left="112" w:right="2409"/>
        <w:rPr>
          <w:sz w:val="16"/>
          <w:szCs w:val="16"/>
        </w:rPr>
      </w:pPr>
      <w:r w:rsidRPr="00712549">
        <w:rPr>
          <w:sz w:val="16"/>
          <w:szCs w:val="16"/>
        </w:rPr>
        <w:t>Editado por: Dr. David Pescod, Professor Associado, Anestesista, Northern Health, Melbourne, Austrália</w:t>
      </w:r>
    </w:p>
    <w:p w14:paraId="53237B27" w14:textId="77777777" w:rsidR="00CE60AD" w:rsidRPr="00F0459E" w:rsidRDefault="00CE60AD">
      <w:pPr>
        <w:pStyle w:val="Corpodetexto"/>
        <w:rPr>
          <w:sz w:val="16"/>
          <w:szCs w:val="16"/>
        </w:rPr>
      </w:pPr>
    </w:p>
    <w:p w14:paraId="13386EB9" w14:textId="77777777" w:rsidR="00CE60AD" w:rsidRPr="00F0459E" w:rsidRDefault="00DD6B63">
      <w:pPr>
        <w:pStyle w:val="P68B1DB1-BodyText3"/>
        <w:ind w:left="112"/>
        <w:rPr>
          <w:sz w:val="16"/>
          <w:szCs w:val="16"/>
        </w:rPr>
      </w:pPr>
      <w:r w:rsidRPr="00F0459E">
        <w:rPr>
          <w:sz w:val="16"/>
          <w:szCs w:val="16"/>
        </w:rPr>
        <w:t xml:space="preserve">†Email do autor corrrespondente: </w:t>
      </w:r>
      <w:hyperlink r:id="rId11">
        <w:r w:rsidRPr="00F0459E">
          <w:rPr>
            <w:sz w:val="16"/>
            <w:szCs w:val="16"/>
          </w:rPr>
          <w:t>shravyakarna@gmail.com</w:t>
        </w:r>
      </w:hyperlink>
    </w:p>
    <w:p w14:paraId="76FC63BB" w14:textId="77777777" w:rsidR="00CE60AD" w:rsidRPr="00F0459E" w:rsidRDefault="00CE60AD">
      <w:pPr>
        <w:pStyle w:val="Corpodetexto"/>
        <w:spacing w:before="2"/>
        <w:rPr>
          <w:sz w:val="16"/>
          <w:szCs w:val="16"/>
        </w:rPr>
      </w:pPr>
    </w:p>
    <w:p w14:paraId="4B8AE36F" w14:textId="77777777" w:rsidR="00CE60AD" w:rsidRPr="008F1D88" w:rsidRDefault="00DD6B63">
      <w:pPr>
        <w:pStyle w:val="P68B1DB1-Normal4"/>
        <w:ind w:left="112"/>
        <w:rPr>
          <w:szCs w:val="18"/>
        </w:rPr>
      </w:pPr>
      <w:r w:rsidRPr="008F1D88">
        <w:rPr>
          <w:szCs w:val="18"/>
        </w:rPr>
        <w:t>Publicado em 17 de maio de 2022</w:t>
      </w:r>
    </w:p>
    <w:p w14:paraId="2A4405BF" w14:textId="77777777" w:rsidR="00CE60AD" w:rsidRDefault="00DD6B63">
      <w:pPr>
        <w:pStyle w:val="Corpodetexto"/>
        <w:spacing w:before="1"/>
        <w:rPr>
          <w:i/>
          <w:sz w:val="24"/>
        </w:rPr>
      </w:pPr>
      <w:r>
        <w:pict w14:anchorId="0210B7EC">
          <v:shape id="docshape8" o:spid="_x0000_s2056" type="#_x0000_t202" style="position:absolute;margin-left:57.6pt;margin-top:15.05pt;width:496.8pt;height:148.95pt;z-index:-15728640;mso-wrap-distance-left:0;mso-wrap-distance-right:0;mso-position-horizontal-relative:page" fillcolor="#dcddde" stroked="f">
            <v:textbox inset="0,0,0,0">
              <w:txbxContent>
                <w:p w14:paraId="7466D292" w14:textId="77777777" w:rsidR="00CE60AD" w:rsidRDefault="00DD6B63">
                  <w:pPr>
                    <w:pStyle w:val="P68B1DB1-Normal5"/>
                    <w:spacing w:before="143"/>
                    <w:ind w:left="179"/>
                    <w:rPr>
                      <w:color w:val="000000"/>
                    </w:rPr>
                  </w:pPr>
                  <w:r>
                    <w:t>PONTOS-CHAVE</w:t>
                  </w:r>
                </w:p>
                <w:p w14:paraId="27A92E8A" w14:textId="77777777" w:rsidR="00CE60AD" w:rsidRDefault="00DD6B63">
                  <w:pPr>
                    <w:pStyle w:val="P68B1DB1-BodyText3"/>
                    <w:numPr>
                      <w:ilvl w:val="0"/>
                      <w:numId w:val="2"/>
                    </w:numPr>
                    <w:tabs>
                      <w:tab w:val="left" w:pos="367"/>
                    </w:tabs>
                    <w:spacing w:before="139" w:line="254" w:lineRule="auto"/>
                    <w:ind w:right="357"/>
                    <w:rPr>
                      <w:color w:val="000000"/>
                    </w:rPr>
                  </w:pPr>
                  <w:r>
                    <w:t>Metadona e buprenorfina possuem características únicas que são vantajosas no tratamento da dor aguda pós-operatória.</w:t>
                  </w:r>
                </w:p>
                <w:p w14:paraId="206B3595" w14:textId="77777777" w:rsidR="00CE60AD" w:rsidRDefault="00DD6B63">
                  <w:pPr>
                    <w:pStyle w:val="P68B1DB1-BodyText3"/>
                    <w:numPr>
                      <w:ilvl w:val="0"/>
                      <w:numId w:val="2"/>
                    </w:numPr>
                    <w:tabs>
                      <w:tab w:val="left" w:pos="367"/>
                    </w:tabs>
                    <w:spacing w:line="254" w:lineRule="auto"/>
                    <w:ind w:right="357" w:hanging="185"/>
                    <w:rPr>
                      <w:color w:val="000000"/>
                    </w:rPr>
                  </w:pPr>
                  <w:r>
                    <w:t>Ambos os agentes utilizados no período perioperatório demonstraram diminuir as necessidades totais de opioides, atenuar os efeitos colaterais relacionados aos opioides e melhorar os escores de dor.</w:t>
                  </w:r>
                </w:p>
                <w:p w14:paraId="4BF3599D" w14:textId="77777777" w:rsidR="00CE60AD" w:rsidRDefault="00DD6B63">
                  <w:pPr>
                    <w:pStyle w:val="P68B1DB1-BodyText3"/>
                    <w:numPr>
                      <w:ilvl w:val="0"/>
                      <w:numId w:val="2"/>
                    </w:numPr>
                    <w:tabs>
                      <w:tab w:val="left" w:pos="367"/>
                    </w:tabs>
                    <w:spacing w:line="254" w:lineRule="auto"/>
                    <w:ind w:right="357" w:hanging="185"/>
                    <w:rPr>
                      <w:color w:val="000000"/>
                    </w:rPr>
                  </w:pPr>
                  <w:r>
                    <w:t>A duração prolongada da ação da metadona, juntamente com seus efeitos opioides e antineuropáticos, torna-a um potente agente analgésico.</w:t>
                  </w:r>
                </w:p>
                <w:p w14:paraId="51C1B69F" w14:textId="21A91B47" w:rsidR="00CE60AD" w:rsidRDefault="00DD6B63">
                  <w:pPr>
                    <w:pStyle w:val="P68B1DB1-BodyText3"/>
                    <w:numPr>
                      <w:ilvl w:val="0"/>
                      <w:numId w:val="2"/>
                    </w:numPr>
                    <w:tabs>
                      <w:tab w:val="left" w:pos="367"/>
                    </w:tabs>
                    <w:spacing w:line="254" w:lineRule="auto"/>
                    <w:ind w:right="356" w:hanging="185"/>
                    <w:rPr>
                      <w:color w:val="000000"/>
                    </w:rPr>
                  </w:pPr>
                  <w:r>
                    <w:t>A buprenorfina sublingual e transdérmica oferece uma excelente alternativa</w:t>
                  </w:r>
                  <w:r>
                    <w:t xml:space="preserve"> para analgesia </w:t>
                  </w:r>
                  <w:r w:rsidR="00705BFD">
                    <w:t>em</w:t>
                  </w:r>
                  <w:r>
                    <w:t xml:space="preserve"> pacientes que não têm</w:t>
                  </w:r>
                  <w:r w:rsidR="00D428F2">
                    <w:t xml:space="preserve"> </w:t>
                  </w:r>
                  <w:r>
                    <w:t xml:space="preserve">ingestão oral no </w:t>
                  </w:r>
                  <w:r>
                    <w:t>pós-operatório.</w:t>
                  </w:r>
                </w:p>
                <w:p w14:paraId="0F87E2C2" w14:textId="77777777" w:rsidR="00CE60AD" w:rsidRDefault="00DD6B63">
                  <w:pPr>
                    <w:pStyle w:val="P68B1DB1-BodyText3"/>
                    <w:numPr>
                      <w:ilvl w:val="0"/>
                      <w:numId w:val="2"/>
                    </w:numPr>
                    <w:tabs>
                      <w:tab w:val="left" w:pos="367"/>
                    </w:tabs>
                    <w:spacing w:line="254" w:lineRule="auto"/>
                    <w:ind w:right="357" w:hanging="185"/>
                    <w:rPr>
                      <w:color w:val="000000"/>
                    </w:rPr>
                  </w:pPr>
                  <w:r>
                    <w:t>Os médicos devem estar atentos aos efeitos colaterais e ao potencial de depressão respiratória, particularmente em pacientes de alto risco.</w:t>
                  </w:r>
                </w:p>
              </w:txbxContent>
            </v:textbox>
            <w10:wrap type="topAndBottom" anchorx="page"/>
          </v:shape>
        </w:pict>
      </w:r>
    </w:p>
    <w:p w14:paraId="0E9D43DC" w14:textId="77777777" w:rsidR="00CE60AD" w:rsidRPr="00D82498" w:rsidRDefault="00CE60AD">
      <w:pPr>
        <w:pStyle w:val="Corpodetexto"/>
        <w:rPr>
          <w:i/>
          <w:szCs w:val="18"/>
        </w:rPr>
      </w:pPr>
    </w:p>
    <w:p w14:paraId="42410FBC" w14:textId="77777777" w:rsidR="00CE60AD" w:rsidRPr="00D82498" w:rsidRDefault="00DD6B63">
      <w:pPr>
        <w:pStyle w:val="P68B1DB1-Heading16"/>
        <w:spacing w:before="63"/>
        <w:rPr>
          <w:sz w:val="18"/>
          <w:szCs w:val="18"/>
        </w:rPr>
      </w:pPr>
      <w:r w:rsidRPr="00D82498">
        <w:rPr>
          <w:sz w:val="18"/>
          <w:szCs w:val="18"/>
        </w:rPr>
        <w:t>INTRODUÇÃO</w:t>
      </w:r>
    </w:p>
    <w:p w14:paraId="55057DB5" w14:textId="325A644F" w:rsidR="00CE60AD" w:rsidRPr="00D82498" w:rsidRDefault="00DD6B63">
      <w:pPr>
        <w:pStyle w:val="Corpodetexto"/>
        <w:spacing w:before="118" w:line="254" w:lineRule="auto"/>
        <w:ind w:left="111" w:right="108"/>
        <w:jc w:val="both"/>
        <w:rPr>
          <w:szCs w:val="18"/>
        </w:rPr>
      </w:pPr>
      <w:r w:rsidRPr="00D82498">
        <w:rPr>
          <w:color w:val="231F20"/>
          <w:szCs w:val="18"/>
        </w:rPr>
        <w:t>A dor pós-operatória mal controlada pode dificultar a recuperação funcional, diminuir a satisfação do paciente, aumentar as complicações pós-cirúrgicas e impor demandas aos recursos hospitalares.</w:t>
      </w:r>
      <w:r w:rsidRPr="00D82498">
        <w:rPr>
          <w:color w:val="231F20"/>
          <w:szCs w:val="18"/>
          <w:vertAlign w:val="superscript"/>
        </w:rPr>
        <w:t>1–3</w:t>
      </w:r>
      <w:r w:rsidRPr="00D82498">
        <w:rPr>
          <w:color w:val="231F20"/>
          <w:szCs w:val="18"/>
        </w:rPr>
        <w:t xml:space="preserve"> Menos de 50% dos pacientes submetidos à cirurgia relatam dor adequadamente controlada.</w:t>
      </w:r>
      <w:r w:rsidRPr="00D82498">
        <w:rPr>
          <w:color w:val="231F20"/>
          <w:szCs w:val="18"/>
          <w:vertAlign w:val="superscript"/>
        </w:rPr>
        <w:t>2</w:t>
      </w:r>
      <w:r w:rsidRPr="00D82498">
        <w:rPr>
          <w:color w:val="231F20"/>
          <w:szCs w:val="18"/>
        </w:rPr>
        <w:t xml:space="preserve"> A gestão da dor pós-operatória depende da inclusão cautelosa de opioides com desescalonamento rápido e oportuno. Os opioides no repertório médico eram tradicionalmente distinguidos por suas propriedades farmacocinéticas (por exemplo, início, deslocamento, duração da ação). No entanto, os opioides contemporâneos exibem diferenças significativas nos perfis farmacocinético e farmacodinâmico, permitindo regimes mais pers</w:t>
      </w:r>
      <w:r w:rsidRPr="00D82498">
        <w:rPr>
          <w:color w:val="231F20"/>
          <w:szCs w:val="18"/>
        </w:rPr>
        <w:t xml:space="preserve">onalizados </w:t>
      </w:r>
      <w:r w:rsidR="0005175E">
        <w:rPr>
          <w:color w:val="231F20"/>
          <w:szCs w:val="18"/>
        </w:rPr>
        <w:t>minimiza</w:t>
      </w:r>
      <w:r w:rsidR="007E3CCE">
        <w:rPr>
          <w:color w:val="231F20"/>
          <w:szCs w:val="18"/>
        </w:rPr>
        <w:t>ndo</w:t>
      </w:r>
      <w:r w:rsidRPr="00D82498">
        <w:rPr>
          <w:color w:val="231F20"/>
          <w:szCs w:val="18"/>
        </w:rPr>
        <w:t xml:space="preserve"> efeitos colaterais indesejáveis. Apesar disso, as complicações</w:t>
      </w:r>
      <w:r w:rsidR="005D7EE4">
        <w:rPr>
          <w:color w:val="231F20"/>
          <w:szCs w:val="18"/>
        </w:rPr>
        <w:t xml:space="preserve"> relacionadas aos</w:t>
      </w:r>
      <w:r w:rsidRPr="00D82498">
        <w:rPr>
          <w:color w:val="231F20"/>
          <w:szCs w:val="18"/>
        </w:rPr>
        <w:t xml:space="preserve"> opioides persistem e podem até perpetuar a dor refratária. Metadona e buprenorfina possuem características únicas. Ambos os opioides têm sido usados há muito tempo para o manejo de pacientes com dor crônica e/ou câncer e como terapia de manutenção para pacientes com transtorno por uso de opioides. O uso de metadona e buprenorfina no manejo da dor aguda pós-operatória é uma estratégia emergente, oferecendo vantagens em relação aos opioides convencionais. O tutorial a seguir discutirá o uso clínico de ambos </w:t>
      </w:r>
      <w:r w:rsidRPr="00D82498">
        <w:rPr>
          <w:color w:val="231F20"/>
          <w:szCs w:val="18"/>
        </w:rPr>
        <w:t>os agentes para o manejo da dor aguda pós-operatória em pacientes virgens de opiáceos.</w:t>
      </w:r>
    </w:p>
    <w:p w14:paraId="4EB45D7F" w14:textId="77777777" w:rsidR="00CE60AD" w:rsidRPr="00D82498" w:rsidRDefault="00CE60AD">
      <w:pPr>
        <w:pStyle w:val="Corpodetexto"/>
        <w:rPr>
          <w:szCs w:val="18"/>
        </w:rPr>
      </w:pPr>
    </w:p>
    <w:p w14:paraId="7873BBAE" w14:textId="77777777" w:rsidR="00CE60AD" w:rsidRPr="00D82498" w:rsidRDefault="00CE60AD">
      <w:pPr>
        <w:pStyle w:val="Corpodetexto"/>
        <w:rPr>
          <w:szCs w:val="18"/>
        </w:rPr>
      </w:pPr>
    </w:p>
    <w:p w14:paraId="0AF40DA8" w14:textId="77777777" w:rsidR="00CE60AD" w:rsidRPr="00D82498" w:rsidRDefault="00CE60AD">
      <w:pPr>
        <w:pStyle w:val="Corpodetexto"/>
        <w:rPr>
          <w:szCs w:val="18"/>
        </w:rPr>
      </w:pPr>
    </w:p>
    <w:p w14:paraId="4FBC9ADB" w14:textId="6727F489" w:rsidR="00CE60AD" w:rsidRPr="00D82498" w:rsidRDefault="00CE60AD">
      <w:pPr>
        <w:pStyle w:val="Corpodetexto"/>
        <w:rPr>
          <w:szCs w:val="18"/>
        </w:rPr>
      </w:pPr>
    </w:p>
    <w:p w14:paraId="118D9F93" w14:textId="02DD2A07" w:rsidR="00CE60AD" w:rsidRPr="00D82498" w:rsidRDefault="00DD6B63">
      <w:pPr>
        <w:pStyle w:val="Corpodetexto"/>
        <w:spacing w:before="5"/>
        <w:rPr>
          <w:szCs w:val="18"/>
        </w:rPr>
      </w:pPr>
      <w:r>
        <w:rPr>
          <w:szCs w:val="18"/>
        </w:rPr>
        <w:pict w14:anchorId="566C7CEC">
          <v:group id="docshapegroup9" o:spid="_x0000_s2052" style="position:absolute;margin-left:446.95pt;margin-top:8.1pt;width:107.45pt;height:42.1pt;z-index:15730688;mso-position-horizontal-relative:page" coordorigin="8939,3913" coordsize="2149,579">
            <v:rect id="docshape10" o:spid="_x0000_s2055" style="position:absolute;left:8939;top:3912;width:2149;height:579" fillcolor="#7dc04d" stroked="f"/>
            <v:rect id="docshape11" o:spid="_x0000_s2054" style="position:absolute;left:9042;top:4324;width:1943;height:20" fillcolor="blue" stroked="f"/>
            <v:shape id="docshape12" o:spid="_x0000_s2053" type="#_x0000_t202" style="position:absolute;left:8941;top:3915;width:2145;height:574" filled="f" strokecolor="#466e3f" strokeweight=".08mm">
              <v:textbox inset="0,0,0,0">
                <w:txbxContent>
                  <w:p w14:paraId="4DA7EB01" w14:textId="77777777" w:rsidR="00CE60AD" w:rsidRPr="00712549" w:rsidRDefault="00DD6B63">
                    <w:pPr>
                      <w:pStyle w:val="P68B1DB1-Normal7"/>
                      <w:spacing w:before="149"/>
                      <w:ind w:left="98"/>
                      <w:rPr>
                        <w:sz w:val="18"/>
                        <w:szCs w:val="18"/>
                      </w:rPr>
                    </w:pPr>
                    <w:hyperlink r:id="rId12">
                      <w:r>
                        <w:t>FAÇA O TESTE ONLINE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Cs w:val="18"/>
        </w:rPr>
        <w:pict w14:anchorId="1B015FAD">
          <v:shape id="docshape13" o:spid="_x0000_s2051" style="position:absolute;margin-left:57.6pt;margin-top:12.4pt;width:382.1pt;height:.1pt;z-index:-15728128;mso-wrap-distance-left:0;mso-wrap-distance-right:0;mso-position-horizontal-relative:page" coordorigin="1152,248" coordsize="7642,0" path="m1152,248r7641,e" filled="f" strokecolor="#231f20" strokeweight=".16017mm">
            <v:path arrowok="t"/>
            <w10:wrap type="topAndBottom" anchorx="page"/>
          </v:shape>
        </w:pict>
      </w:r>
    </w:p>
    <w:p w14:paraId="012F7FFB" w14:textId="77777777" w:rsidR="00CE60AD" w:rsidRPr="00712549" w:rsidRDefault="00DD6B63">
      <w:pPr>
        <w:pStyle w:val="P68B1DB1-Normal8"/>
        <w:spacing w:before="63" w:line="232" w:lineRule="auto"/>
        <w:ind w:left="112" w:right="2413"/>
        <w:jc w:val="both"/>
        <w:rPr>
          <w:szCs w:val="16"/>
        </w:rPr>
      </w:pPr>
      <w:r w:rsidRPr="00712549">
        <w:rPr>
          <w:color w:val="231F20"/>
          <w:szCs w:val="16"/>
        </w:rPr>
        <w:t xml:space="preserve">Um teste online está disponível para educação médica continuada autodirigida (CME). Estima-se que demore 1 hora para ser concluído. Registre o tempo gasto e relate isso ao seu organismo de credenciamento se desejar reivindicar os pontos CME. Um certificado será concedido após a aprovação no teste. Consulte a política de acreditação </w:t>
      </w:r>
      <w:hyperlink r:id="rId13">
        <w:r w:rsidRPr="00712549">
          <w:rPr>
            <w:color w:val="0000FF"/>
            <w:szCs w:val="16"/>
            <w:u w:val="single" w:color="0000FF"/>
          </w:rPr>
          <w:t>aqui</w:t>
        </w:r>
      </w:hyperlink>
      <w:hyperlink r:id="rId14">
        <w:r w:rsidRPr="00712549">
          <w:rPr>
            <w:szCs w:val="16"/>
          </w:rPr>
          <w:t>.</w:t>
        </w:r>
      </w:hyperlink>
    </w:p>
    <w:p w14:paraId="164D6ECB" w14:textId="77777777" w:rsidR="00CE60AD" w:rsidRPr="00D82498" w:rsidRDefault="00CE60AD">
      <w:pPr>
        <w:spacing w:line="232" w:lineRule="auto"/>
        <w:jc w:val="both"/>
        <w:rPr>
          <w:sz w:val="18"/>
          <w:szCs w:val="18"/>
        </w:rPr>
        <w:sectPr w:rsidR="00CE60AD" w:rsidRPr="00D82498">
          <w:footerReference w:type="default" r:id="rId15"/>
          <w:type w:val="continuous"/>
          <w:pgSz w:w="12240" w:h="15840"/>
          <w:pgMar w:top="0" w:right="1040" w:bottom="1160" w:left="1040" w:header="0" w:footer="962" w:gutter="0"/>
          <w:pgNumType w:start="1"/>
          <w:cols w:space="720"/>
        </w:sectPr>
      </w:pPr>
    </w:p>
    <w:p w14:paraId="33A0147A" w14:textId="77777777" w:rsidR="00CE60AD" w:rsidRPr="000D552C" w:rsidRDefault="00DD6B63">
      <w:pPr>
        <w:pStyle w:val="P68B1DB1-Heading16"/>
        <w:spacing w:before="39"/>
        <w:rPr>
          <w:sz w:val="20"/>
        </w:rPr>
      </w:pPr>
      <w:r w:rsidRPr="000D552C">
        <w:rPr>
          <w:sz w:val="20"/>
        </w:rPr>
        <w:lastRenderedPageBreak/>
        <w:t>METADONA</w:t>
      </w:r>
    </w:p>
    <w:p w14:paraId="1F3E4A2D" w14:textId="77777777" w:rsidR="00CE60AD" w:rsidRPr="00D82498" w:rsidRDefault="00DD6B63">
      <w:pPr>
        <w:pStyle w:val="P68B1DB1-Heading29"/>
        <w:spacing w:before="133"/>
        <w:jc w:val="both"/>
        <w:rPr>
          <w:sz w:val="18"/>
          <w:szCs w:val="18"/>
        </w:rPr>
      </w:pPr>
      <w:r w:rsidRPr="00D82498">
        <w:rPr>
          <w:sz w:val="18"/>
          <w:szCs w:val="18"/>
        </w:rPr>
        <w:t>Mecanismo de Ação</w:t>
      </w:r>
    </w:p>
    <w:p w14:paraId="33B064DF" w14:textId="77777777" w:rsidR="00CE60AD" w:rsidRPr="00D82498" w:rsidRDefault="00DD6B63">
      <w:pPr>
        <w:pStyle w:val="P68B1DB1-BodyText3"/>
        <w:spacing w:before="130" w:line="264" w:lineRule="auto"/>
        <w:ind w:left="111" w:right="110"/>
        <w:jc w:val="both"/>
        <w:rPr>
          <w:szCs w:val="18"/>
        </w:rPr>
      </w:pPr>
      <w:r w:rsidRPr="00D82498">
        <w:rPr>
          <w:szCs w:val="18"/>
        </w:rPr>
        <w:t>A metadona (6-dimetilamino-4, 4-difenil-3-heptanona) foi sintetizada pela primeira vez em 1937 e é um potente agonista dos receptores mu e delta, atuando central e perifericamente.</w:t>
      </w:r>
      <w:r w:rsidRPr="00D82498">
        <w:rPr>
          <w:szCs w:val="18"/>
          <w:vertAlign w:val="superscript"/>
        </w:rPr>
        <w:t>4</w:t>
      </w:r>
      <w:r w:rsidRPr="00D82498">
        <w:rPr>
          <w:szCs w:val="18"/>
        </w:rPr>
        <w:t xml:space="preserve"> É também um antagonista não competitivo do N-metil-D-aspartato e inibe a recaptação de serotonina (5HT3) e noradrenalina (NA) em concentrações relevantes.</w:t>
      </w:r>
      <w:r w:rsidRPr="00D82498">
        <w:rPr>
          <w:szCs w:val="18"/>
          <w:vertAlign w:val="superscript"/>
        </w:rPr>
        <w:t>1–7</w:t>
      </w:r>
    </w:p>
    <w:p w14:paraId="111A89E8" w14:textId="77777777" w:rsidR="00CE60AD" w:rsidRPr="00D82498" w:rsidRDefault="00CE60AD">
      <w:pPr>
        <w:pStyle w:val="Corpodetexto"/>
        <w:spacing w:before="2"/>
        <w:rPr>
          <w:szCs w:val="18"/>
        </w:rPr>
      </w:pPr>
    </w:p>
    <w:p w14:paraId="42293EAB" w14:textId="74C126EC" w:rsidR="00CE60AD" w:rsidRPr="00012AB4" w:rsidRDefault="00DD6B63">
      <w:pPr>
        <w:pStyle w:val="P68B1DB1-Heading29"/>
        <w:jc w:val="both"/>
        <w:rPr>
          <w:szCs w:val="24"/>
        </w:rPr>
      </w:pPr>
      <w:r w:rsidRPr="00012AB4">
        <w:rPr>
          <w:szCs w:val="24"/>
        </w:rPr>
        <w:t>Farmacocinética</w:t>
      </w:r>
      <w:r w:rsidR="00845C4A">
        <w:rPr>
          <w:szCs w:val="24"/>
        </w:rPr>
        <w:t>:</w:t>
      </w:r>
    </w:p>
    <w:p w14:paraId="4355FCDA" w14:textId="77777777" w:rsidR="00CE60AD" w:rsidRPr="00012AB4" w:rsidRDefault="00DD6B63">
      <w:pPr>
        <w:pStyle w:val="P68B1DB1-Heading310"/>
        <w:spacing w:before="131"/>
        <w:jc w:val="both"/>
      </w:pPr>
      <w:r w:rsidRPr="00012AB4">
        <w:t>Absorção/ Distribuição:</w:t>
      </w:r>
    </w:p>
    <w:p w14:paraId="54D2075E" w14:textId="77777777" w:rsidR="00CE60AD" w:rsidRPr="00D82498" w:rsidRDefault="00DD6B63">
      <w:pPr>
        <w:pStyle w:val="P68B1DB1-BodyText3"/>
        <w:spacing w:before="137" w:line="264" w:lineRule="auto"/>
        <w:ind w:left="112" w:right="110"/>
        <w:jc w:val="both"/>
        <w:rPr>
          <w:szCs w:val="18"/>
        </w:rPr>
      </w:pPr>
      <w:r w:rsidRPr="00D82498">
        <w:rPr>
          <w:szCs w:val="18"/>
        </w:rPr>
        <w:t xml:space="preserve">A metadona está atualmente disponível como comprimido oral, xarope ou solução para uso intravenoso (IV). Possui alta solubilidade em gordura e ligação às proteínas, o que </w:t>
      </w:r>
      <w:r w:rsidRPr="00D82498">
        <w:rPr>
          <w:szCs w:val="18"/>
        </w:rPr>
        <w:t>contribui para sua longa meia-vida plasmática e ação prolongada.</w:t>
      </w:r>
      <w:r w:rsidRPr="00D82498">
        <w:rPr>
          <w:szCs w:val="18"/>
          <w:vertAlign w:val="superscript"/>
        </w:rPr>
        <w:t>4</w:t>
      </w:r>
    </w:p>
    <w:p w14:paraId="187188A1" w14:textId="77777777" w:rsidR="00CE60AD" w:rsidRPr="00012AB4" w:rsidRDefault="00CE60AD">
      <w:pPr>
        <w:pStyle w:val="Corpodetexto"/>
        <w:spacing w:before="11"/>
        <w:rPr>
          <w:sz w:val="20"/>
        </w:rPr>
      </w:pPr>
    </w:p>
    <w:p w14:paraId="5693360B" w14:textId="77777777" w:rsidR="00CE60AD" w:rsidRPr="00012AB4" w:rsidRDefault="00DD6B63">
      <w:pPr>
        <w:pStyle w:val="P68B1DB1-Heading310"/>
        <w:jc w:val="both"/>
      </w:pPr>
      <w:r w:rsidRPr="00012AB4">
        <w:t>Metabolismo/ Eliminação:</w:t>
      </w:r>
    </w:p>
    <w:p w14:paraId="688D2E9E" w14:textId="524E0589" w:rsidR="00CE60AD" w:rsidRPr="00D82498" w:rsidRDefault="00566456">
      <w:pPr>
        <w:pStyle w:val="P68B1DB1-BodyText3"/>
        <w:spacing w:before="137" w:line="264" w:lineRule="auto"/>
        <w:ind w:left="111" w:right="110"/>
        <w:jc w:val="both"/>
        <w:rPr>
          <w:szCs w:val="18"/>
        </w:rPr>
      </w:pPr>
      <w:r>
        <w:rPr>
          <w:szCs w:val="18"/>
        </w:rPr>
        <w:t>Antes se pensava que</w:t>
      </w:r>
      <w:r w:rsidR="00DD6B63" w:rsidRPr="00D82498">
        <w:rPr>
          <w:szCs w:val="18"/>
        </w:rPr>
        <w:t xml:space="preserve"> a metadona </w:t>
      </w:r>
      <w:r w:rsidR="00F6135A">
        <w:rPr>
          <w:szCs w:val="18"/>
        </w:rPr>
        <w:t>fosse</w:t>
      </w:r>
      <w:r w:rsidR="00DD6B63" w:rsidRPr="00D82498">
        <w:rPr>
          <w:szCs w:val="18"/>
        </w:rPr>
        <w:t xml:space="preserve"> metabolizada através de 2 enzimas principais do citocromo P450</w:t>
      </w:r>
      <w:r w:rsidR="00F6135A">
        <w:rPr>
          <w:szCs w:val="18"/>
        </w:rPr>
        <w:t xml:space="preserve">. </w:t>
      </w:r>
      <w:proofErr w:type="gramStart"/>
      <w:r w:rsidR="00F6135A">
        <w:rPr>
          <w:szCs w:val="18"/>
        </w:rPr>
        <w:t xml:space="preserve">Porém, </w:t>
      </w:r>
      <w:r w:rsidR="00DD6B63" w:rsidRPr="00D82498">
        <w:rPr>
          <w:szCs w:val="18"/>
        </w:rPr>
        <w:t xml:space="preserve"> agora</w:t>
      </w:r>
      <w:proofErr w:type="gramEnd"/>
      <w:r w:rsidR="00DD6B63" w:rsidRPr="00D82498">
        <w:rPr>
          <w:szCs w:val="18"/>
        </w:rPr>
        <w:t xml:space="preserve"> é inequivocamente aceito como sendo </w:t>
      </w:r>
      <w:r w:rsidR="00DD6B63" w:rsidRPr="00D82498">
        <w:rPr>
          <w:szCs w:val="18"/>
        </w:rPr>
        <w:t>devido aos sistemas CYP2B6.</w:t>
      </w:r>
      <w:r w:rsidR="00DD6B63" w:rsidRPr="00D82498">
        <w:rPr>
          <w:szCs w:val="18"/>
          <w:vertAlign w:val="superscript"/>
        </w:rPr>
        <w:t>8</w:t>
      </w:r>
      <w:r w:rsidR="00DD6B63" w:rsidRPr="00D82498">
        <w:rPr>
          <w:szCs w:val="18"/>
        </w:rPr>
        <w:t xml:space="preserve"> É a expressão variável do CYP2B6 que torna a metadona suscetível a grandes variações na meia-vida e nas interações medicamentosas em pacientes saudáveis. Tem a meia-vida mais longa de todos os opioides usados clinicamente, variando de 15 a 60 horas, e seus metabólitos inativos são eliminados na urina.</w:t>
      </w:r>
      <w:r w:rsidR="00DD6B63" w:rsidRPr="00D82498">
        <w:rPr>
          <w:szCs w:val="18"/>
          <w:vertAlign w:val="superscript"/>
        </w:rPr>
        <w:t>4,8</w:t>
      </w:r>
    </w:p>
    <w:p w14:paraId="0B424F73" w14:textId="77777777" w:rsidR="00CE60AD" w:rsidRPr="00D82498" w:rsidRDefault="00CE60AD">
      <w:pPr>
        <w:pStyle w:val="Corpodetexto"/>
        <w:spacing w:before="10"/>
        <w:rPr>
          <w:szCs w:val="18"/>
        </w:rPr>
      </w:pPr>
    </w:p>
    <w:p w14:paraId="09EE9F69" w14:textId="77777777" w:rsidR="00CE60AD" w:rsidRPr="00012AB4" w:rsidRDefault="00DD6B63">
      <w:pPr>
        <w:pStyle w:val="P68B1DB1-Heading310"/>
      </w:pPr>
      <w:r w:rsidRPr="00012AB4">
        <w:t>Potência</w:t>
      </w:r>
    </w:p>
    <w:p w14:paraId="22662E34" w14:textId="77777777" w:rsidR="00CE60AD" w:rsidRPr="00D82498" w:rsidRDefault="00DD6B63">
      <w:pPr>
        <w:pStyle w:val="P68B1DB1-BodyText3"/>
        <w:spacing w:before="137" w:line="264" w:lineRule="auto"/>
        <w:ind w:left="111" w:right="107"/>
        <w:jc w:val="both"/>
        <w:rPr>
          <w:szCs w:val="18"/>
        </w:rPr>
      </w:pPr>
      <w:r w:rsidRPr="00D82498">
        <w:rPr>
          <w:szCs w:val="18"/>
        </w:rPr>
        <w:t>Quando administrada por via parenteral, a metadona é considerada equipotente à morfina intravenosa.</w:t>
      </w:r>
      <w:r w:rsidRPr="00D82498">
        <w:rPr>
          <w:szCs w:val="18"/>
          <w:vertAlign w:val="superscript"/>
        </w:rPr>
        <w:t>7</w:t>
      </w:r>
      <w:r w:rsidRPr="00D82498">
        <w:rPr>
          <w:szCs w:val="18"/>
        </w:rPr>
        <w:t xml:space="preserve"> No entanto, com doses crescentes de metadona, a relação não permanece linear e a metadona torna-se relativamente mais potente. Atualmente, não há consenso em relação às taxas de conversão definitivas. Um regime publicado sugere uma taxa de conversão de 4:1 em pacientes recebendo 90 mg/d de equivalência de morfina oral para metadona oral, 8:1 para 90–300 mg/d e 12:1 pol .300 mg/d.6 Ao converter a metadona oral em IV, a dose cumulativa é reduzida em 50% e administrada durante 24 horas ou dividida em doses i</w:t>
      </w:r>
      <w:r w:rsidRPr="00D82498">
        <w:rPr>
          <w:szCs w:val="18"/>
        </w:rPr>
        <w:t>ntermitentes. Por exemplo, um paciente que deve ser tratado com 20 mg duas vezes ao dia de morfina oral (5 mg duas vezes ao dia de metadona oral; razão de conversão de 4:1) pode ser iniciado com 5 mg de metadona IV (redução de 50% da metadona oral para IV) diariamente.</w:t>
      </w:r>
    </w:p>
    <w:p w14:paraId="45073710" w14:textId="77777777" w:rsidR="00CE60AD" w:rsidRPr="00D82498" w:rsidRDefault="00CE60AD">
      <w:pPr>
        <w:pStyle w:val="Corpodetexto"/>
        <w:rPr>
          <w:szCs w:val="18"/>
        </w:rPr>
      </w:pPr>
    </w:p>
    <w:p w14:paraId="40D8472A" w14:textId="5FFF4460" w:rsidR="00CE60AD" w:rsidRPr="00012AB4" w:rsidRDefault="00DD6B63">
      <w:pPr>
        <w:pStyle w:val="P68B1DB1-Heading29"/>
        <w:rPr>
          <w:szCs w:val="24"/>
        </w:rPr>
      </w:pPr>
      <w:r w:rsidRPr="00012AB4">
        <w:rPr>
          <w:szCs w:val="24"/>
        </w:rPr>
        <w:t>Farmacodinâmica</w:t>
      </w:r>
      <w:r w:rsidR="00845C4A">
        <w:rPr>
          <w:szCs w:val="24"/>
        </w:rPr>
        <w:t>:</w:t>
      </w:r>
    </w:p>
    <w:p w14:paraId="442EF4BE" w14:textId="77777777" w:rsidR="00CE60AD" w:rsidRPr="00D82498" w:rsidRDefault="00DD6B63">
      <w:pPr>
        <w:pStyle w:val="P68B1DB1-BodyText3"/>
        <w:spacing w:before="130" w:line="264" w:lineRule="auto"/>
        <w:ind w:left="112" w:right="110"/>
        <w:jc w:val="both"/>
        <w:rPr>
          <w:szCs w:val="18"/>
        </w:rPr>
      </w:pPr>
      <w:r w:rsidRPr="00D82498">
        <w:rPr>
          <w:szCs w:val="18"/>
        </w:rPr>
        <w:t>O início da ação da metadona é rápido (aproximadamente 5 minutos) após a administração IV. A duração da analgesia depende da dose intravenosa administrada, com pequenas doses (ou seja, 5 mg) terminadas por redistribuição em menos de 5 horas, enquanto doses maiores (ou seja, 20 mg) podem durar até 24 horas ou 1 meia-vida de eliminação.</w:t>
      </w:r>
      <w:r w:rsidRPr="00D82498">
        <w:rPr>
          <w:szCs w:val="18"/>
          <w:vertAlign w:val="superscript"/>
        </w:rPr>
        <w:t>1,7</w:t>
      </w:r>
    </w:p>
    <w:p w14:paraId="586FF8BC" w14:textId="77777777" w:rsidR="00CE60AD" w:rsidRPr="00D82498" w:rsidRDefault="00CE60AD">
      <w:pPr>
        <w:pStyle w:val="Corpodetexto"/>
        <w:spacing w:before="11"/>
        <w:rPr>
          <w:szCs w:val="18"/>
        </w:rPr>
      </w:pPr>
    </w:p>
    <w:p w14:paraId="5AA62AB9" w14:textId="77777777" w:rsidR="00CE60AD" w:rsidRPr="00012AB4" w:rsidRDefault="00DD6B63">
      <w:pPr>
        <w:pStyle w:val="P68B1DB1-Heading310"/>
      </w:pPr>
      <w:r w:rsidRPr="00012AB4">
        <w:t>Mecanismo de Ação</w:t>
      </w:r>
    </w:p>
    <w:p w14:paraId="33C1E0A9" w14:textId="77777777" w:rsidR="00CE60AD" w:rsidRPr="00D82498" w:rsidRDefault="00DD6B63">
      <w:pPr>
        <w:pStyle w:val="P68B1DB1-BodyText3"/>
        <w:spacing w:before="137" w:line="254" w:lineRule="auto"/>
        <w:ind w:left="111" w:right="109"/>
        <w:jc w:val="both"/>
        <w:rPr>
          <w:szCs w:val="18"/>
        </w:rPr>
      </w:pPr>
      <w:r w:rsidRPr="00D82498">
        <w:rPr>
          <w:szCs w:val="18"/>
        </w:rPr>
        <w:t>A metadona produz analgesia sustentada potente através da ativação de receptores opioides mu.</w:t>
      </w:r>
      <w:r w:rsidRPr="00D82498">
        <w:rPr>
          <w:szCs w:val="18"/>
          <w:vertAlign w:val="superscript"/>
        </w:rPr>
        <w:t>4</w:t>
      </w:r>
      <w:r w:rsidRPr="00D82498">
        <w:rPr>
          <w:szCs w:val="18"/>
        </w:rPr>
        <w:t xml:space="preserve"> Sua atividade nos receptores NMDA, inibição da recaptação de 5HT3 e NA pode ser útil para o manejo da dor neuropática, redução da hiperalgesia induzida por opioides e outros tipos de hiperalgesia, alodinia e tolerância a opioides, e pode ter efeitos favoráveis no </w:t>
      </w:r>
      <w:r w:rsidRPr="00D82498">
        <w:rPr>
          <w:position w:val="-7"/>
          <w:szCs w:val="18"/>
        </w:rPr>
        <w:t>humor.</w:t>
      </w:r>
      <w:r w:rsidRPr="00D82498">
        <w:rPr>
          <w:szCs w:val="18"/>
        </w:rPr>
        <w:t>2,5,7</w:t>
      </w:r>
    </w:p>
    <w:p w14:paraId="07E4CC5A" w14:textId="02D7C4E9" w:rsidR="00CE60AD" w:rsidRPr="00012AB4" w:rsidRDefault="00F32ADC" w:rsidP="00F32ADC">
      <w:pPr>
        <w:pStyle w:val="P68B1DB1-Heading310"/>
        <w:ind w:left="0"/>
      </w:pPr>
      <w:r w:rsidRPr="00012AB4">
        <w:t xml:space="preserve">  Efeitos respiratórios</w:t>
      </w:r>
    </w:p>
    <w:p w14:paraId="6F805443" w14:textId="4F65DF14" w:rsidR="00CE60AD" w:rsidRPr="00D82498" w:rsidRDefault="00DD6B63">
      <w:pPr>
        <w:pStyle w:val="P68B1DB1-BodyText3"/>
        <w:spacing w:before="137" w:line="264" w:lineRule="auto"/>
        <w:ind w:left="111" w:right="105"/>
        <w:jc w:val="both"/>
        <w:rPr>
          <w:szCs w:val="18"/>
          <w:vertAlign w:val="superscript"/>
        </w:rPr>
      </w:pPr>
      <w:r w:rsidRPr="00D82498">
        <w:rPr>
          <w:szCs w:val="18"/>
        </w:rPr>
        <w:t>Semelhante a outros opioides, a depressão respiratória com metadona pode ocorrer devido à diminuição da reatividade dos quimiorreceptores ao aumento das concentrações de CO2 .</w:t>
      </w:r>
      <w:r w:rsidRPr="00D82498">
        <w:rPr>
          <w:szCs w:val="18"/>
          <w:vertAlign w:val="superscript"/>
        </w:rPr>
        <w:t>A</w:t>
      </w:r>
      <w:r w:rsidRPr="00D82498">
        <w:rPr>
          <w:szCs w:val="18"/>
        </w:rPr>
        <w:t xml:space="preserve"> meia-vida longa da metadona aumenta potencialmente o risco de depressão respiratória prolongada.</w:t>
      </w:r>
      <w:r w:rsidRPr="00D82498">
        <w:rPr>
          <w:szCs w:val="18"/>
          <w:vertAlign w:val="superscript"/>
        </w:rPr>
        <w:t>1–3,5,7,9</w:t>
      </w:r>
      <w:r w:rsidRPr="00D82498">
        <w:rPr>
          <w:szCs w:val="18"/>
        </w:rPr>
        <w:t xml:space="preserve"> Em pacientes não expostos a opioides, doses mais baixas podem ser suficientes para causar overdose fatal, enquanto em pacientes tolerantes, doses maiores serão necessárias para depressão cardíaca e respiratória subsequente. O monitoramento cuidadoso da frequência respiratória e do escore de sedação deve ser estendido por 24 a 48 horas em pacientes sem uso de opioides que recebem grandes doses de metad</w:t>
      </w:r>
      <w:r w:rsidRPr="00D82498">
        <w:rPr>
          <w:szCs w:val="18"/>
        </w:rPr>
        <w:t>ona para cirurgia.</w:t>
      </w:r>
      <w:r w:rsidRPr="00D82498">
        <w:rPr>
          <w:szCs w:val="18"/>
          <w:vertAlign w:val="superscript"/>
        </w:rPr>
        <w:t>7</w:t>
      </w:r>
    </w:p>
    <w:p w14:paraId="122BDDE8" w14:textId="77777777" w:rsidR="00F32ADC" w:rsidRPr="00D82498" w:rsidRDefault="00F32ADC">
      <w:pPr>
        <w:pStyle w:val="P68B1DB1-BodyText3"/>
        <w:spacing w:before="137" w:line="264" w:lineRule="auto"/>
        <w:ind w:left="111" w:right="105"/>
        <w:jc w:val="both"/>
        <w:rPr>
          <w:szCs w:val="18"/>
        </w:rPr>
      </w:pPr>
    </w:p>
    <w:p w14:paraId="505583C3" w14:textId="2F40EE7E" w:rsidR="00CE60AD" w:rsidRPr="00012AB4" w:rsidRDefault="00F32ADC" w:rsidP="00F32ADC">
      <w:pPr>
        <w:pStyle w:val="P68B1DB1-Heading310"/>
        <w:ind w:left="0"/>
      </w:pPr>
      <w:r w:rsidRPr="00012AB4">
        <w:t xml:space="preserve">  Outros efeitos</w:t>
      </w:r>
    </w:p>
    <w:p w14:paraId="7BACAE19" w14:textId="4DE077BB" w:rsidR="00CE60AD" w:rsidRPr="00D82498" w:rsidRDefault="00DD6B63">
      <w:pPr>
        <w:pStyle w:val="P68B1DB1-BodyText3"/>
        <w:spacing w:before="137" w:line="264" w:lineRule="auto"/>
        <w:ind w:left="112" w:right="110"/>
        <w:jc w:val="both"/>
        <w:rPr>
          <w:szCs w:val="18"/>
        </w:rPr>
      </w:pPr>
      <w:r w:rsidRPr="00D82498">
        <w:rPr>
          <w:szCs w:val="18"/>
        </w:rPr>
        <w:t xml:space="preserve">A metadona tem efeitos únicos sobre o sistema cardiovascular, que são </w:t>
      </w:r>
      <w:r w:rsidRPr="00D82498">
        <w:rPr>
          <w:szCs w:val="18"/>
        </w:rPr>
        <w:t>abordados abaixo. Semelhante a outros agonistas do receptor mu, a metadona causa náuseas e vômitos, m</w:t>
      </w:r>
      <w:r w:rsidRPr="00D82498">
        <w:rPr>
          <w:szCs w:val="18"/>
        </w:rPr>
        <w:t>iose, constipação, disfunção sexual</w:t>
      </w:r>
      <w:r w:rsidR="0053655B">
        <w:rPr>
          <w:szCs w:val="18"/>
        </w:rPr>
        <w:t>, t</w:t>
      </w:r>
      <w:r w:rsidRPr="00D82498">
        <w:rPr>
          <w:szCs w:val="18"/>
        </w:rPr>
        <w:t>olerância cruzada e</w:t>
      </w:r>
      <w:r w:rsidR="0053655B">
        <w:rPr>
          <w:szCs w:val="18"/>
        </w:rPr>
        <w:t xml:space="preserve"> é</w:t>
      </w:r>
      <w:r w:rsidRPr="00D82498">
        <w:rPr>
          <w:szCs w:val="18"/>
        </w:rPr>
        <w:t xml:space="preserve"> passível de uso indevido e abuso.</w:t>
      </w:r>
      <w:r w:rsidRPr="00D82498">
        <w:rPr>
          <w:szCs w:val="18"/>
          <w:vertAlign w:val="superscript"/>
        </w:rPr>
        <w:t>7</w:t>
      </w:r>
    </w:p>
    <w:p w14:paraId="2A9FE241" w14:textId="77777777" w:rsidR="00CE60AD" w:rsidRPr="00F32ADC" w:rsidRDefault="00CE60AD">
      <w:pPr>
        <w:spacing w:line="264" w:lineRule="auto"/>
        <w:jc w:val="both"/>
        <w:rPr>
          <w:sz w:val="16"/>
          <w:szCs w:val="16"/>
        </w:rPr>
        <w:sectPr w:rsidR="00CE60AD" w:rsidRPr="00F32ADC">
          <w:pgSz w:w="12240" w:h="15840"/>
          <w:pgMar w:top="960" w:right="1040" w:bottom="1160" w:left="1040" w:header="0" w:footer="962" w:gutter="0"/>
          <w:cols w:space="720"/>
        </w:sectPr>
      </w:pPr>
    </w:p>
    <w:p w14:paraId="52B7A41D" w14:textId="77777777" w:rsidR="00CE60AD" w:rsidRPr="00012AB4" w:rsidRDefault="00DD6B63">
      <w:pPr>
        <w:pStyle w:val="P68B1DB1-Heading29"/>
        <w:spacing w:before="39"/>
        <w:rPr>
          <w:szCs w:val="24"/>
        </w:rPr>
      </w:pPr>
      <w:r w:rsidRPr="00012AB4">
        <w:rPr>
          <w:szCs w:val="24"/>
        </w:rPr>
        <w:lastRenderedPageBreak/>
        <w:t>Aplicação Clínica e Evidências</w:t>
      </w:r>
    </w:p>
    <w:p w14:paraId="6A1FD7D5" w14:textId="77777777" w:rsidR="00CE60AD" w:rsidRPr="00012AB4" w:rsidRDefault="00DD6B63">
      <w:pPr>
        <w:pStyle w:val="P68B1DB1-Heading310"/>
        <w:spacing w:before="122"/>
      </w:pPr>
      <w:r w:rsidRPr="00012AB4">
        <w:t>Dosagem Clínica</w:t>
      </w:r>
    </w:p>
    <w:p w14:paraId="594CCF3B" w14:textId="1F6E500C" w:rsidR="00D82498" w:rsidRPr="00F02ED9" w:rsidRDefault="00DD6B63" w:rsidP="00D82498">
      <w:pPr>
        <w:pStyle w:val="P68B1DB1-BodyText3"/>
        <w:spacing w:before="129" w:line="254" w:lineRule="auto"/>
        <w:ind w:left="111" w:right="107"/>
        <w:jc w:val="both"/>
        <w:rPr>
          <w:sz w:val="16"/>
          <w:szCs w:val="16"/>
        </w:rPr>
      </w:pPr>
      <w:r w:rsidRPr="00F02ED9">
        <w:rPr>
          <w:sz w:val="16"/>
          <w:szCs w:val="16"/>
        </w:rPr>
        <w:t xml:space="preserve">No período perioperatório, a metadona pode ser administrada a pacientes sem uso prévio de opioides como dose única na indução para procedimentos que se espera causem dor pós-operatória prolongada e intensa, como cirurgia espinhal de grande porte. O </w:t>
      </w:r>
      <w:r w:rsidRPr="00F02ED9">
        <w:rPr>
          <w:sz w:val="16"/>
          <w:szCs w:val="16"/>
        </w:rPr>
        <w:t>objetivo é atingir concentrações sanguíneas que excedam o limiar analgésico mínimo, mas abaixo das concentrações que podem produzir depressão respiratória.</w:t>
      </w:r>
      <w:r w:rsidRPr="00F02ED9">
        <w:rPr>
          <w:sz w:val="16"/>
          <w:szCs w:val="16"/>
          <w:vertAlign w:val="superscript"/>
        </w:rPr>
        <w:t>1</w:t>
      </w:r>
      <w:r w:rsidRPr="00F02ED9">
        <w:rPr>
          <w:sz w:val="16"/>
          <w:szCs w:val="16"/>
        </w:rPr>
        <w:t xml:space="preserve"> Vários ensaios clínicos randomizados usaram doses variadas variando de 0,17 a 0,3 mg/kg.1 ,2,5 Um regime comumente </w:t>
      </w:r>
      <w:r w:rsidR="00012AB4" w:rsidRPr="00F02ED9">
        <w:rPr>
          <w:sz w:val="16"/>
          <w:szCs w:val="16"/>
        </w:rPr>
        <w:t>utilizado</w:t>
      </w:r>
      <w:r w:rsidRPr="00F02ED9">
        <w:rPr>
          <w:sz w:val="16"/>
          <w:szCs w:val="16"/>
        </w:rPr>
        <w:t xml:space="preserve"> é um único bolus IV de 20 mg para pacientes jovens e em forma e 15 mg para pacientes mais velhos ou com fisiologia comprometida, </w:t>
      </w:r>
      <w:r w:rsidR="00DB2F09">
        <w:rPr>
          <w:sz w:val="16"/>
          <w:szCs w:val="16"/>
        </w:rPr>
        <w:t>considerando</w:t>
      </w:r>
      <w:r w:rsidRPr="00F02ED9">
        <w:rPr>
          <w:sz w:val="16"/>
          <w:szCs w:val="16"/>
        </w:rPr>
        <w:t xml:space="preserve"> a</w:t>
      </w:r>
      <w:r w:rsidR="0009286A">
        <w:rPr>
          <w:sz w:val="16"/>
          <w:szCs w:val="16"/>
        </w:rPr>
        <w:t xml:space="preserve"> diminuição da</w:t>
      </w:r>
      <w:r w:rsidRPr="00F02ED9">
        <w:rPr>
          <w:sz w:val="16"/>
          <w:szCs w:val="16"/>
        </w:rPr>
        <w:t xml:space="preserve"> eliminação</w:t>
      </w:r>
      <w:r w:rsidR="0009286A">
        <w:rPr>
          <w:sz w:val="16"/>
          <w:szCs w:val="16"/>
        </w:rPr>
        <w:t>.</w:t>
      </w:r>
      <w:r w:rsidRPr="00F02ED9">
        <w:rPr>
          <w:sz w:val="16"/>
          <w:szCs w:val="16"/>
          <w:vertAlign w:val="superscript"/>
        </w:rPr>
        <w:t>1</w:t>
      </w:r>
      <w:r w:rsidRPr="00F02ED9">
        <w:rPr>
          <w:sz w:val="16"/>
          <w:szCs w:val="16"/>
        </w:rPr>
        <w:t xml:space="preserve"> Opioides de ação curta e início rápido, como alfentanil 30 </w:t>
      </w:r>
      <w:r w:rsidRPr="00F02ED9">
        <w:rPr>
          <w:rFonts w:ascii="Times New Roman"/>
          <w:sz w:val="16"/>
          <w:szCs w:val="16"/>
        </w:rPr>
        <w:t>lg</w:t>
      </w:r>
      <w:r w:rsidRPr="00F02ED9">
        <w:rPr>
          <w:sz w:val="16"/>
          <w:szCs w:val="16"/>
        </w:rPr>
        <w:t>/ kg, podem ser considerados para controlar a resposta press</w:t>
      </w:r>
      <w:r w:rsidR="006E0831">
        <w:rPr>
          <w:sz w:val="16"/>
          <w:szCs w:val="16"/>
        </w:rPr>
        <w:t>ó</w:t>
      </w:r>
      <w:r w:rsidRPr="00F02ED9">
        <w:rPr>
          <w:sz w:val="16"/>
          <w:szCs w:val="16"/>
        </w:rPr>
        <w:t>r</w:t>
      </w:r>
      <w:r w:rsidR="006E0831">
        <w:rPr>
          <w:sz w:val="16"/>
          <w:szCs w:val="16"/>
        </w:rPr>
        <w:t>ic</w:t>
      </w:r>
      <w:r w:rsidRPr="00F02ED9">
        <w:rPr>
          <w:sz w:val="16"/>
          <w:szCs w:val="16"/>
        </w:rPr>
        <w:t>a à laringoscopia/intubação. No pós-operatório, outros bolus de metadona podem ser administrados (por exemplo, em incrementos de 2 mg em intervalos de 20 minutos) ou trocados para opioides mais comumente usados de acordo com a preferência institucional.</w:t>
      </w:r>
      <w:r w:rsidRPr="00F02ED9">
        <w:rPr>
          <w:sz w:val="16"/>
          <w:szCs w:val="16"/>
          <w:vertAlign w:val="superscript"/>
        </w:rPr>
        <w:t>2</w:t>
      </w:r>
      <w:r w:rsidRPr="00F02ED9">
        <w:rPr>
          <w:sz w:val="16"/>
          <w:szCs w:val="16"/>
        </w:rPr>
        <w:t xml:space="preserve"> É importante que a dose de metadona seja adaptada ao doente e contextualizada na presença de fatores de risco.</w:t>
      </w:r>
      <w:r w:rsidR="00D82498" w:rsidRPr="00F02ED9">
        <w:rPr>
          <w:sz w:val="16"/>
          <w:szCs w:val="16"/>
        </w:rPr>
        <w:t xml:space="preserve"> </w:t>
      </w:r>
    </w:p>
    <w:p w14:paraId="5DF28EC6" w14:textId="67198694" w:rsidR="00CE60AD" w:rsidRPr="00F02ED9" w:rsidRDefault="00DD6B63" w:rsidP="00D82498">
      <w:pPr>
        <w:pStyle w:val="P68B1DB1-BodyText3"/>
        <w:spacing w:before="129" w:line="254" w:lineRule="auto"/>
        <w:ind w:left="111" w:right="107"/>
        <w:jc w:val="both"/>
        <w:rPr>
          <w:sz w:val="16"/>
          <w:szCs w:val="16"/>
        </w:rPr>
      </w:pPr>
      <w:r w:rsidRPr="00F02ED9">
        <w:rPr>
          <w:sz w:val="16"/>
          <w:szCs w:val="16"/>
        </w:rPr>
        <w:t>O uso continuado de metadona além do período perioperatório imediato não é amplamente recomendado, a menos que seja apoiado por um Serviço de Dor Aguda especializado e o monitoramento contínuo da frequência respiratória e sedação seja fornecido em uma unidade especializada de alta dependência (HDU). Os níveis plasmáticos em estado estacionário são alcançados aproximadamente nos dias 4 a 5 de metadona neste cenário (4-5 meias-vidas do fármaco).</w:t>
      </w:r>
      <w:r w:rsidRPr="00F02ED9">
        <w:rPr>
          <w:sz w:val="16"/>
          <w:szCs w:val="16"/>
          <w:vertAlign w:val="superscript"/>
        </w:rPr>
        <w:t>7</w:t>
      </w:r>
      <w:r w:rsidRPr="00F02ED9">
        <w:rPr>
          <w:sz w:val="16"/>
          <w:szCs w:val="16"/>
        </w:rPr>
        <w:t xml:space="preserve"> Mais tipicamente, os opioides de ação mais curta são usados para o tratamento contínuo da dor pós-operatória, como morfina, oxicodona e possivelmente buprenorfina, usados com moderação no cenário da analgesia multimodal, combinando analgésicos não opioides, como paracetamol (acetaminofeno) e anti-inflamatórios não esteroides, se indicado.</w:t>
      </w:r>
    </w:p>
    <w:p w14:paraId="1179E80D" w14:textId="77777777" w:rsidR="00CE60AD" w:rsidRPr="00F02ED9" w:rsidRDefault="00DD6B63">
      <w:pPr>
        <w:pStyle w:val="P68B1DB1-Heading310"/>
        <w:rPr>
          <w:sz w:val="24"/>
          <w:szCs w:val="24"/>
        </w:rPr>
      </w:pPr>
      <w:r w:rsidRPr="00F02ED9">
        <w:rPr>
          <w:sz w:val="24"/>
          <w:szCs w:val="24"/>
        </w:rPr>
        <w:t>Vantagens</w:t>
      </w:r>
    </w:p>
    <w:p w14:paraId="0CC80115" w14:textId="3BEF555B" w:rsidR="00CE60AD" w:rsidRPr="00F02ED9" w:rsidRDefault="00DD6B63">
      <w:pPr>
        <w:pStyle w:val="P68B1DB1-BodyText3"/>
        <w:spacing w:before="130" w:line="254" w:lineRule="auto"/>
        <w:ind w:left="111" w:right="110"/>
        <w:jc w:val="both"/>
        <w:rPr>
          <w:sz w:val="16"/>
          <w:szCs w:val="16"/>
        </w:rPr>
      </w:pPr>
      <w:r w:rsidRPr="00F02ED9">
        <w:rPr>
          <w:sz w:val="16"/>
          <w:szCs w:val="16"/>
        </w:rPr>
        <w:t xml:space="preserve">A duração de ação prolongada única da metadona resulta em menores necessidades pós-operatórias de opioides e menores escores gerais de dor em comparação com opioides como o fentanil. Com a diminuição da necessidade de doses subsequentes de analgesia de “resgate” no pós-operatório, o uso de metadona no </w:t>
      </w:r>
      <w:proofErr w:type="gramStart"/>
      <w:r w:rsidRPr="00F02ED9">
        <w:rPr>
          <w:sz w:val="16"/>
          <w:szCs w:val="16"/>
        </w:rPr>
        <w:t>intra-operatório</w:t>
      </w:r>
      <w:proofErr w:type="gramEnd"/>
      <w:r w:rsidRPr="00F02ED9">
        <w:rPr>
          <w:sz w:val="16"/>
          <w:szCs w:val="16"/>
        </w:rPr>
        <w:t xml:space="preserve"> pode atenuar a hipoventilação, náuseas e v</w:t>
      </w:r>
      <w:r w:rsidR="007D6AF8">
        <w:rPr>
          <w:sz w:val="16"/>
          <w:szCs w:val="16"/>
        </w:rPr>
        <w:t>ô</w:t>
      </w:r>
      <w:r w:rsidRPr="00F02ED9">
        <w:rPr>
          <w:sz w:val="16"/>
          <w:szCs w:val="16"/>
        </w:rPr>
        <w:t>mitos e o desenvolvimento de íleo. Além disso, a satisfação do paciente e a qualidade percebida do manejo da dor são melhoradas em comparação com os opioides convencionais.</w:t>
      </w:r>
      <w:r w:rsidRPr="00F02ED9">
        <w:rPr>
          <w:sz w:val="16"/>
          <w:szCs w:val="16"/>
          <w:vertAlign w:val="superscript"/>
        </w:rPr>
        <w:t>3</w:t>
      </w:r>
      <w:r w:rsidRPr="00F02ED9">
        <w:rPr>
          <w:sz w:val="16"/>
          <w:szCs w:val="16"/>
        </w:rPr>
        <w:t xml:space="preserve"> A metadona foi investigada em grandes cirurgias cardíacas, espinhais, ginecológicas e abdominais superiores, todas revelando diminuição do opioide total solicitado na recuperação e diminuição da intensidade da dor.</w:t>
      </w:r>
      <w:r w:rsidRPr="00F02ED9">
        <w:rPr>
          <w:sz w:val="16"/>
          <w:szCs w:val="16"/>
          <w:vertAlign w:val="superscript"/>
        </w:rPr>
        <w:t>2,3,5</w:t>
      </w:r>
      <w:r w:rsidRPr="00F02ED9">
        <w:rPr>
          <w:sz w:val="16"/>
          <w:szCs w:val="16"/>
        </w:rPr>
        <w:t xml:space="preserve"> Doses mais baixas de metadona (0,1 mg/kg) testadas em cirurgia ambulatorial (por exemplo, colecistectomia laparoscópic</w:t>
      </w:r>
      <w:r w:rsidRPr="00F02ED9">
        <w:rPr>
          <w:sz w:val="16"/>
          <w:szCs w:val="16"/>
        </w:rPr>
        <w:t>a) conferiram benefícios semelhantes.</w:t>
      </w:r>
      <w:r w:rsidRPr="00F02ED9">
        <w:rPr>
          <w:sz w:val="16"/>
          <w:szCs w:val="16"/>
          <w:vertAlign w:val="superscript"/>
        </w:rPr>
        <w:t>2</w:t>
      </w:r>
    </w:p>
    <w:p w14:paraId="6FDE4B9B" w14:textId="380851C0" w:rsidR="00CE60AD" w:rsidRDefault="00DD6B63">
      <w:pPr>
        <w:pStyle w:val="P68B1DB1-BodyText3"/>
        <w:spacing w:before="124" w:line="254" w:lineRule="auto"/>
        <w:ind w:left="112" w:right="110"/>
        <w:jc w:val="both"/>
        <w:rPr>
          <w:sz w:val="16"/>
          <w:szCs w:val="16"/>
        </w:rPr>
      </w:pPr>
      <w:r w:rsidRPr="00F02ED9">
        <w:rPr>
          <w:sz w:val="16"/>
          <w:szCs w:val="16"/>
        </w:rPr>
        <w:t>A analgesia prolongada da metadona e a combinação única de ações no sistema nervoso central (inibição de NMDA, potenciação de NA e 5 HT) são benéficas na diminuição da dor severa e no risco subsequente de dor persistente e/ou neuropática após cirurgia grande e complexa. A ativação de NMDA resulta em sensibilização central e indução de alodinia, hiperalgesia e um estado de dor sustentado. Postula-se que a atividade antagonista da metadona (semelhante à cetamina) no período pré-operatório pode diminuir o risc</w:t>
      </w:r>
      <w:r w:rsidRPr="00F02ED9">
        <w:rPr>
          <w:sz w:val="16"/>
          <w:szCs w:val="16"/>
        </w:rPr>
        <w:t>o de transição da dor aguda para a crônica e o desenvolvimento de sintomatologia neuropática.</w:t>
      </w:r>
      <w:r w:rsidRPr="00F02ED9">
        <w:rPr>
          <w:sz w:val="16"/>
          <w:szCs w:val="16"/>
          <w:vertAlign w:val="superscript"/>
        </w:rPr>
        <w:t>5</w:t>
      </w:r>
      <w:r w:rsidRPr="00F02ED9">
        <w:rPr>
          <w:sz w:val="16"/>
          <w:szCs w:val="16"/>
        </w:rPr>
        <w:t xml:space="preserve"> A metadona também oferece vantagens para </w:t>
      </w:r>
      <w:r w:rsidR="00B93CF7">
        <w:rPr>
          <w:sz w:val="16"/>
          <w:szCs w:val="16"/>
        </w:rPr>
        <w:t>pacientes</w:t>
      </w:r>
      <w:r w:rsidRPr="00F02ED9">
        <w:rPr>
          <w:sz w:val="16"/>
          <w:szCs w:val="16"/>
        </w:rPr>
        <w:t xml:space="preserve"> com histórico de uso crônico de opioides, superando potencialmente os efeitos de tolerância do opioide de fundo e oferecendo uma rotação de opioides perioperatória.</w:t>
      </w:r>
    </w:p>
    <w:p w14:paraId="389801B2" w14:textId="77777777" w:rsidR="000D552C" w:rsidRPr="00F02ED9" w:rsidRDefault="000D552C">
      <w:pPr>
        <w:pStyle w:val="P68B1DB1-BodyText3"/>
        <w:spacing w:before="124" w:line="254" w:lineRule="auto"/>
        <w:ind w:left="112" w:right="110"/>
        <w:jc w:val="both"/>
        <w:rPr>
          <w:sz w:val="16"/>
          <w:szCs w:val="16"/>
        </w:rPr>
      </w:pPr>
    </w:p>
    <w:p w14:paraId="3F54ADC5" w14:textId="77777777" w:rsidR="00CE60AD" w:rsidRPr="00012AB4" w:rsidRDefault="00DD6B63">
      <w:pPr>
        <w:pStyle w:val="P68B1DB1-Heading29"/>
        <w:rPr>
          <w:szCs w:val="24"/>
        </w:rPr>
      </w:pPr>
      <w:r w:rsidRPr="00012AB4">
        <w:rPr>
          <w:szCs w:val="24"/>
        </w:rPr>
        <w:t>Cuidado e Limitações</w:t>
      </w:r>
    </w:p>
    <w:p w14:paraId="11FB3489" w14:textId="2BB564C0" w:rsidR="00CE60AD" w:rsidRPr="00F02ED9" w:rsidRDefault="00DD6B63" w:rsidP="00D82498">
      <w:pPr>
        <w:pStyle w:val="P68B1DB1-BodyText3"/>
        <w:spacing w:before="121" w:line="254" w:lineRule="auto"/>
        <w:ind w:left="112" w:right="110"/>
        <w:jc w:val="both"/>
        <w:rPr>
          <w:sz w:val="16"/>
          <w:szCs w:val="16"/>
        </w:rPr>
      </w:pPr>
      <w:r w:rsidRPr="00F02ED9">
        <w:rPr>
          <w:sz w:val="16"/>
          <w:szCs w:val="16"/>
        </w:rPr>
        <w:t>O uso de metadona é sofisticado e complexo em comparação com a terapia opioide convencional. Embora os efeitos colaterais comuns dos opioides se apliquem ao uso de metadona, os médicos precisam estar particularmente atentos a eventos adversos específicos.Teoricamente, os efeitos prolongados da metadona têm o potencial de causar depressão respiratória aguda e/ou prolongada. Acredita-se que o risco de toxicidade seja maior no início, ou na variação da dose, particularmente no escalonamento, pois os efeitos an</w:t>
      </w:r>
      <w:r w:rsidRPr="00F02ED9">
        <w:rPr>
          <w:sz w:val="16"/>
          <w:szCs w:val="16"/>
        </w:rPr>
        <w:t>algésicos de estado estacionário e pico podem não ocorrer até 5 dias após o início. Um estudo de coorte retrospectivo mostrou que o sexo masculino, o aumento da idade, o alto escore da Sociedade Americana de Anestesiologia e o novo início pós-operatório de metadona estavam associados à depressão respiratória. Felizmente, todos os ensaios clínicos randomizados na literatura comparando metadona com outros opioides perioperatórios não observaram diferença na incidência de depressão respiratória ou eventos hipó</w:t>
      </w:r>
      <w:r w:rsidRPr="00F02ED9">
        <w:rPr>
          <w:sz w:val="16"/>
          <w:szCs w:val="16"/>
        </w:rPr>
        <w:t>xicos.</w:t>
      </w:r>
      <w:r w:rsidRPr="00F02ED9">
        <w:rPr>
          <w:sz w:val="16"/>
          <w:szCs w:val="16"/>
          <w:vertAlign w:val="superscript"/>
        </w:rPr>
        <w:t>2,9</w:t>
      </w:r>
      <w:r w:rsidRPr="00F02ED9">
        <w:rPr>
          <w:rFonts w:hAnsi="Times New Roman"/>
          <w:sz w:val="16"/>
          <w:szCs w:val="16"/>
        </w:rPr>
        <w:t xml:space="preserve"> Portanto, semelhante ao manejo convencional de opioides, </w:t>
      </w:r>
      <w:r w:rsidRPr="00F02ED9">
        <w:rPr>
          <w:rFonts w:hAnsi="Times New Roman"/>
          <w:sz w:val="16"/>
          <w:szCs w:val="16"/>
        </w:rPr>
        <w:t>é</w:t>
      </w:r>
      <w:r w:rsidRPr="00F02ED9">
        <w:rPr>
          <w:rFonts w:hAnsi="Times New Roman"/>
          <w:sz w:val="16"/>
          <w:szCs w:val="16"/>
        </w:rPr>
        <w:t xml:space="preserve"> prudente admitir pacientes de alto risco, como aqueles que s</w:t>
      </w:r>
      <w:r w:rsidRPr="00F02ED9">
        <w:rPr>
          <w:rFonts w:hAnsi="Times New Roman"/>
          <w:sz w:val="16"/>
          <w:szCs w:val="16"/>
        </w:rPr>
        <w:t>ã</w:t>
      </w:r>
      <w:r w:rsidRPr="00F02ED9">
        <w:rPr>
          <w:rFonts w:hAnsi="Times New Roman"/>
          <w:sz w:val="16"/>
          <w:szCs w:val="16"/>
        </w:rPr>
        <w:t>o obesos m</w:t>
      </w:r>
      <w:r w:rsidRPr="00F02ED9">
        <w:rPr>
          <w:rFonts w:hAnsi="Times New Roman"/>
          <w:sz w:val="16"/>
          <w:szCs w:val="16"/>
        </w:rPr>
        <w:t>ó</w:t>
      </w:r>
      <w:r w:rsidRPr="00F02ED9">
        <w:rPr>
          <w:rFonts w:hAnsi="Times New Roman"/>
          <w:sz w:val="16"/>
          <w:szCs w:val="16"/>
        </w:rPr>
        <w:t>rbidos, t</w:t>
      </w:r>
      <w:r w:rsidRPr="00F02ED9">
        <w:rPr>
          <w:rFonts w:hAnsi="Times New Roman"/>
          <w:sz w:val="16"/>
          <w:szCs w:val="16"/>
        </w:rPr>
        <w:t>ê</w:t>
      </w:r>
      <w:r w:rsidRPr="00F02ED9">
        <w:rPr>
          <w:rFonts w:hAnsi="Times New Roman"/>
          <w:sz w:val="16"/>
          <w:szCs w:val="16"/>
        </w:rPr>
        <w:t>m apneia obstrutiva do sono, t</w:t>
      </w:r>
      <w:r w:rsidRPr="00F02ED9">
        <w:rPr>
          <w:rFonts w:hAnsi="Times New Roman"/>
          <w:sz w:val="16"/>
          <w:szCs w:val="16"/>
        </w:rPr>
        <w:t>ê</w:t>
      </w:r>
      <w:r w:rsidRPr="00F02ED9">
        <w:rPr>
          <w:rFonts w:hAnsi="Times New Roman"/>
          <w:sz w:val="16"/>
          <w:szCs w:val="16"/>
        </w:rPr>
        <w:t>m disfun</w:t>
      </w:r>
      <w:r w:rsidRPr="00F02ED9">
        <w:rPr>
          <w:rFonts w:hAnsi="Times New Roman"/>
          <w:sz w:val="16"/>
          <w:szCs w:val="16"/>
        </w:rPr>
        <w:t>çã</w:t>
      </w:r>
      <w:r w:rsidRPr="00F02ED9">
        <w:rPr>
          <w:rFonts w:hAnsi="Times New Roman"/>
          <w:sz w:val="16"/>
          <w:szCs w:val="16"/>
        </w:rPr>
        <w:t>o renal ou hep</w:t>
      </w:r>
      <w:r w:rsidRPr="00F02ED9">
        <w:rPr>
          <w:rFonts w:hAnsi="Times New Roman"/>
          <w:sz w:val="16"/>
          <w:szCs w:val="16"/>
        </w:rPr>
        <w:t>á</w:t>
      </w:r>
      <w:r w:rsidRPr="00F02ED9">
        <w:rPr>
          <w:rFonts w:hAnsi="Times New Roman"/>
          <w:sz w:val="16"/>
          <w:szCs w:val="16"/>
        </w:rPr>
        <w:t>tica e idosos em uma HDU no p</w:t>
      </w:r>
      <w:r w:rsidRPr="00F02ED9">
        <w:rPr>
          <w:rFonts w:hAnsi="Times New Roman"/>
          <w:sz w:val="16"/>
          <w:szCs w:val="16"/>
        </w:rPr>
        <w:t>ó</w:t>
      </w:r>
      <w:r w:rsidRPr="00F02ED9">
        <w:rPr>
          <w:rFonts w:hAnsi="Times New Roman"/>
          <w:sz w:val="16"/>
          <w:szCs w:val="16"/>
        </w:rPr>
        <w:t>s-operat</w:t>
      </w:r>
      <w:r w:rsidRPr="00F02ED9">
        <w:rPr>
          <w:rFonts w:hAnsi="Times New Roman"/>
          <w:sz w:val="16"/>
          <w:szCs w:val="16"/>
        </w:rPr>
        <w:t>ó</w:t>
      </w:r>
      <w:r w:rsidRPr="00F02ED9">
        <w:rPr>
          <w:rFonts w:hAnsi="Times New Roman"/>
          <w:sz w:val="16"/>
          <w:szCs w:val="16"/>
        </w:rPr>
        <w:t>rio, onde as satura</w:t>
      </w:r>
      <w:r w:rsidRPr="00F02ED9">
        <w:rPr>
          <w:rFonts w:hAnsi="Times New Roman"/>
          <w:sz w:val="16"/>
          <w:szCs w:val="16"/>
        </w:rPr>
        <w:t>çõ</w:t>
      </w:r>
      <w:r w:rsidRPr="00F02ED9">
        <w:rPr>
          <w:rFonts w:hAnsi="Times New Roman"/>
          <w:sz w:val="16"/>
          <w:szCs w:val="16"/>
        </w:rPr>
        <w:t>es de oxig</w:t>
      </w:r>
      <w:r w:rsidRPr="00F02ED9">
        <w:rPr>
          <w:rFonts w:hAnsi="Times New Roman"/>
          <w:sz w:val="16"/>
          <w:szCs w:val="16"/>
        </w:rPr>
        <w:t>ê</w:t>
      </w:r>
      <w:r w:rsidRPr="00F02ED9">
        <w:rPr>
          <w:rFonts w:hAnsi="Times New Roman"/>
          <w:sz w:val="16"/>
          <w:szCs w:val="16"/>
        </w:rPr>
        <w:t>nio e os padr</w:t>
      </w:r>
      <w:r w:rsidRPr="00F02ED9">
        <w:rPr>
          <w:rFonts w:hAnsi="Times New Roman"/>
          <w:sz w:val="16"/>
          <w:szCs w:val="16"/>
        </w:rPr>
        <w:t>õ</w:t>
      </w:r>
      <w:r w:rsidRPr="00F02ED9">
        <w:rPr>
          <w:rFonts w:hAnsi="Times New Roman"/>
          <w:sz w:val="16"/>
          <w:szCs w:val="16"/>
        </w:rPr>
        <w:t>es respirat</w:t>
      </w:r>
      <w:r w:rsidRPr="00F02ED9">
        <w:rPr>
          <w:rFonts w:hAnsi="Times New Roman"/>
          <w:sz w:val="16"/>
          <w:szCs w:val="16"/>
        </w:rPr>
        <w:t>ó</w:t>
      </w:r>
      <w:r w:rsidRPr="00F02ED9">
        <w:rPr>
          <w:rFonts w:hAnsi="Times New Roman"/>
          <w:sz w:val="16"/>
          <w:szCs w:val="16"/>
        </w:rPr>
        <w:t>rios podem ser monitorados. Alternativamente, a oximetria durante a noite e a enfermagem de</w:t>
      </w:r>
      <w:r w:rsidRPr="00F02ED9">
        <w:rPr>
          <w:rFonts w:ascii="Times New Roman" w:hAnsi="Times New Roman"/>
          <w:sz w:val="16"/>
          <w:szCs w:val="16"/>
        </w:rPr>
        <w:t xml:space="preserve"> "</w:t>
      </w:r>
      <w:r w:rsidRPr="00F02ED9">
        <w:rPr>
          <w:rFonts w:hAnsi="Times New Roman"/>
          <w:sz w:val="16"/>
          <w:szCs w:val="16"/>
        </w:rPr>
        <w:t>linha de vis</w:t>
      </w:r>
      <w:r w:rsidRPr="00F02ED9">
        <w:rPr>
          <w:rFonts w:hAnsi="Times New Roman"/>
          <w:sz w:val="16"/>
          <w:szCs w:val="16"/>
        </w:rPr>
        <w:t>ã</w:t>
      </w:r>
      <w:r w:rsidRPr="00F02ED9">
        <w:rPr>
          <w:rFonts w:hAnsi="Times New Roman"/>
          <w:sz w:val="16"/>
          <w:szCs w:val="16"/>
        </w:rPr>
        <w:t>o</w:t>
      </w:r>
      <w:r w:rsidRPr="00F02ED9">
        <w:rPr>
          <w:sz w:val="16"/>
          <w:szCs w:val="16"/>
        </w:rPr>
        <w:t>" podem estar disponíveis em diferentes instituições para pacientes de baixo risco.A meia-vida da nal</w:t>
      </w:r>
      <w:r w:rsidRPr="00F02ED9">
        <w:rPr>
          <w:sz w:val="16"/>
          <w:szCs w:val="16"/>
        </w:rPr>
        <w:t>oxona (90 minutos) é significativamente menor do que a da metadona (35 horas). Se a naloxona for usada no tratamento da depressão respiratória relacionada à metadona, pode ser necessária uma infusão.</w:t>
      </w:r>
      <w:r w:rsidRPr="00F02ED9">
        <w:rPr>
          <w:sz w:val="16"/>
          <w:szCs w:val="16"/>
          <w:vertAlign w:val="superscript"/>
        </w:rPr>
        <w:t>2</w:t>
      </w:r>
      <w:r w:rsidRPr="00F02ED9">
        <w:rPr>
          <w:sz w:val="16"/>
          <w:szCs w:val="16"/>
        </w:rPr>
        <w:t xml:space="preserve"> </w:t>
      </w:r>
    </w:p>
    <w:p w14:paraId="6D1B3259" w14:textId="77777777" w:rsidR="00CE60AD" w:rsidRPr="00F02ED9" w:rsidRDefault="00DD6B63">
      <w:pPr>
        <w:pStyle w:val="P68B1DB1-BodyText3"/>
        <w:spacing w:before="128" w:line="254" w:lineRule="auto"/>
        <w:ind w:left="111" w:right="109"/>
        <w:jc w:val="both"/>
        <w:rPr>
          <w:sz w:val="16"/>
          <w:szCs w:val="16"/>
        </w:rPr>
      </w:pPr>
      <w:r w:rsidRPr="00F02ED9">
        <w:rPr>
          <w:sz w:val="16"/>
          <w:szCs w:val="16"/>
        </w:rPr>
        <w:t>Embora a metadona possa prolongar os intervalos QTc em doses elevadas ou com uso contínuo, uma dose única em bolus de metadona não foi associada a uma maior incidência de eventos cardíacos.</w:t>
      </w:r>
      <w:r w:rsidRPr="00F02ED9">
        <w:rPr>
          <w:sz w:val="16"/>
          <w:szCs w:val="16"/>
          <w:vertAlign w:val="superscript"/>
        </w:rPr>
        <w:t>2,8</w:t>
      </w:r>
      <w:r w:rsidRPr="00F02ED9">
        <w:rPr>
          <w:sz w:val="16"/>
          <w:szCs w:val="16"/>
        </w:rPr>
        <w:t xml:space="preserve"> O uso crônico ou grandes doses de metadona oral superiores a 120 mg por dia, particularmente em combinação com outros fatores de risco (consulte a Tabela 1), raramente podem causar prolongamento do QTc, o que pode levar a Torsades de Pointes e morte súbita cardíaca. Uma análise retrospectiva de 2735 pacientes mostrando QTc prolongado no hospital</w:t>
      </w:r>
    </w:p>
    <w:p w14:paraId="47678495" w14:textId="77777777" w:rsidR="00CE60AD" w:rsidRPr="00D82498" w:rsidRDefault="00CE60AD">
      <w:pPr>
        <w:spacing w:line="254" w:lineRule="auto"/>
        <w:jc w:val="both"/>
        <w:rPr>
          <w:sz w:val="18"/>
          <w:szCs w:val="18"/>
        </w:rPr>
        <w:sectPr w:rsidR="00CE60AD" w:rsidRPr="00D82498">
          <w:pgSz w:w="12240" w:h="15840"/>
          <w:pgMar w:top="960" w:right="1040" w:bottom="1160" w:left="1040" w:header="0" w:footer="962" w:gutter="0"/>
          <w:cols w:space="720"/>
        </w:sectPr>
      </w:pPr>
    </w:p>
    <w:p w14:paraId="4D7F764B" w14:textId="77777777" w:rsidR="00F32ADC" w:rsidRPr="002267C6" w:rsidRDefault="00DD6B63" w:rsidP="00D82498">
      <w:pPr>
        <w:pStyle w:val="Corpodetexto"/>
        <w:spacing w:line="254" w:lineRule="auto"/>
        <w:ind w:left="370" w:hanging="180"/>
        <w:rPr>
          <w:color w:val="231F20"/>
          <w:sz w:val="16"/>
          <w:szCs w:val="16"/>
        </w:rPr>
      </w:pPr>
      <w:r>
        <w:rPr>
          <w:sz w:val="16"/>
          <w:szCs w:val="16"/>
        </w:rPr>
        <w:lastRenderedPageBreak/>
        <w:pict w14:anchorId="1EC03695">
          <v:shape id="docshape14" o:spid="_x0000_s2050" style="position:absolute;left:0;text-align:left;margin-left:57.6pt;margin-top:-.3pt;width:496.8pt;height:83.7pt;z-index:-15877632;mso-position-horizontal-relative:page" coordorigin="1152,-6" coordsize="9936,1674" o:spt="100" adj="0,,0" path="m11088,1647r,l11088,13r-20,l11068,1647r-9896,l1172,13r-20,l1152,1647r,20l11088,1667r,-20xm11088,-6r-9936,l1152,13r9936,l11088,-6xe" fillcolor="#7dc04d" stroked="f">
            <v:stroke joinstyle="round"/>
            <v:formulas/>
            <v:path arrowok="t" o:connecttype="segments"/>
            <w10:wrap anchorx="page"/>
          </v:shape>
        </w:pict>
      </w:r>
      <w:bookmarkStart w:id="0" w:name="t01"/>
      <w:bookmarkEnd w:id="0"/>
      <w:r w:rsidRPr="002267C6">
        <w:rPr>
          <w:color w:val="231F20"/>
          <w:sz w:val="16"/>
          <w:szCs w:val="16"/>
        </w:rPr>
        <w:t>Fatore</w:t>
      </w:r>
      <w:r w:rsidR="00F32ADC" w:rsidRPr="002267C6">
        <w:rPr>
          <w:color w:val="231F20"/>
          <w:sz w:val="16"/>
          <w:szCs w:val="16"/>
        </w:rPr>
        <w:t>s</w:t>
      </w:r>
    </w:p>
    <w:p w14:paraId="078FE313" w14:textId="47161CBE" w:rsidR="00F32ADC" w:rsidRPr="002267C6" w:rsidRDefault="00F32ADC">
      <w:pPr>
        <w:pStyle w:val="Corpodetexto"/>
        <w:spacing w:before="63" w:line="254" w:lineRule="auto"/>
        <w:ind w:left="370" w:hanging="180"/>
        <w:rPr>
          <w:color w:val="231F20"/>
          <w:sz w:val="16"/>
          <w:szCs w:val="16"/>
        </w:rPr>
      </w:pPr>
      <w:r w:rsidRPr="002267C6">
        <w:rPr>
          <w:color w:val="231F20"/>
          <w:sz w:val="16"/>
          <w:szCs w:val="16"/>
        </w:rPr>
        <w:t>Período</w:t>
      </w:r>
    </w:p>
    <w:p w14:paraId="69561288" w14:textId="6FFE3DA5" w:rsidR="00CE60AD" w:rsidRPr="002267C6" w:rsidRDefault="00DD6B63">
      <w:pPr>
        <w:pStyle w:val="Corpodetexto"/>
        <w:spacing w:before="63" w:line="254" w:lineRule="auto"/>
        <w:ind w:left="370" w:hanging="180"/>
        <w:rPr>
          <w:sz w:val="16"/>
          <w:szCs w:val="16"/>
        </w:rPr>
      </w:pPr>
      <w:r w:rsidRPr="002267C6">
        <w:rPr>
          <w:color w:val="231F20"/>
          <w:sz w:val="16"/>
          <w:szCs w:val="16"/>
        </w:rPr>
        <w:t>perioperatório</w:t>
      </w:r>
    </w:p>
    <w:p w14:paraId="2611D369" w14:textId="42C6C06E" w:rsidR="00CE60AD" w:rsidRPr="002267C6" w:rsidRDefault="00DD6B63">
      <w:pPr>
        <w:pStyle w:val="Corpodetexto"/>
        <w:spacing w:before="63" w:line="254" w:lineRule="auto"/>
        <w:ind w:left="370" w:hanging="180"/>
        <w:rPr>
          <w:sz w:val="16"/>
          <w:szCs w:val="16"/>
        </w:rPr>
      </w:pPr>
      <w:r w:rsidRPr="002267C6">
        <w:rPr>
          <w:sz w:val="16"/>
          <w:szCs w:val="16"/>
        </w:rPr>
        <w:br w:type="column"/>
      </w:r>
      <w:r w:rsidRPr="002267C6">
        <w:rPr>
          <w:color w:val="231F20"/>
          <w:sz w:val="16"/>
          <w:szCs w:val="16"/>
        </w:rPr>
        <w:t xml:space="preserve">Estresse </w:t>
      </w:r>
      <w:r w:rsidRPr="002267C6">
        <w:rPr>
          <w:color w:val="231F20"/>
          <w:sz w:val="16"/>
          <w:szCs w:val="16"/>
        </w:rPr>
        <w:t>fisiológico/cirúrgico, hipotermia, distúrbio eletrolítico (especialmente hipocal</w:t>
      </w:r>
      <w:r w:rsidRPr="002267C6">
        <w:rPr>
          <w:color w:val="231F20"/>
          <w:sz w:val="16"/>
          <w:szCs w:val="16"/>
        </w:rPr>
        <w:t>emia, hipomagnesemia, hipocalcemia)</w:t>
      </w:r>
    </w:p>
    <w:p w14:paraId="14E81B1E" w14:textId="77777777" w:rsidR="00CE60AD" w:rsidRPr="002267C6" w:rsidRDefault="00CE60AD">
      <w:pPr>
        <w:spacing w:line="254" w:lineRule="auto"/>
        <w:rPr>
          <w:sz w:val="16"/>
          <w:szCs w:val="16"/>
        </w:rPr>
        <w:sectPr w:rsidR="00CE60AD" w:rsidRPr="002267C6">
          <w:pgSz w:w="12240" w:h="15840"/>
          <w:pgMar w:top="1060" w:right="1040" w:bottom="1160" w:left="1040" w:header="0" w:footer="962" w:gutter="0"/>
          <w:cols w:num="2" w:space="720" w:equalWidth="0">
            <w:col w:w="1442" w:space="684"/>
            <w:col w:w="8034"/>
          </w:cols>
        </w:sectPr>
      </w:pPr>
    </w:p>
    <w:p w14:paraId="27651BAD" w14:textId="1B3E68A1" w:rsidR="00CE60AD" w:rsidRPr="002267C6" w:rsidRDefault="00DD6B63" w:rsidP="00F32ADC">
      <w:pPr>
        <w:pStyle w:val="P68B1DB1-BodyText3"/>
        <w:tabs>
          <w:tab w:val="left" w:pos="2317"/>
        </w:tabs>
        <w:ind w:left="2496" w:right="296" w:hanging="2306"/>
        <w:rPr>
          <w:sz w:val="16"/>
          <w:szCs w:val="16"/>
        </w:rPr>
      </w:pPr>
      <w:r w:rsidRPr="002267C6">
        <w:rPr>
          <w:sz w:val="16"/>
          <w:szCs w:val="16"/>
        </w:rPr>
        <w:t>Medicamentos</w:t>
      </w:r>
      <w:r w:rsidRPr="002267C6">
        <w:rPr>
          <w:sz w:val="16"/>
          <w:szCs w:val="16"/>
        </w:rPr>
        <w:tab/>
        <w:t>F</w:t>
      </w:r>
      <w:r w:rsidRPr="002267C6">
        <w:rPr>
          <w:sz w:val="16"/>
          <w:szCs w:val="16"/>
        </w:rPr>
        <w:t>u</w:t>
      </w:r>
      <w:r w:rsidR="00132C32">
        <w:rPr>
          <w:sz w:val="16"/>
          <w:szCs w:val="16"/>
        </w:rPr>
        <w:t>ro</w:t>
      </w:r>
      <w:r w:rsidRPr="002267C6">
        <w:rPr>
          <w:sz w:val="16"/>
          <w:szCs w:val="16"/>
        </w:rPr>
        <w:t>semida, hidroclorotiazida, inibidores seletivos da recaptação da serotonina, amiodarona, antifúngicos, metadona, antipsicóticos</w:t>
      </w:r>
    </w:p>
    <w:p w14:paraId="6CE38427" w14:textId="77777777" w:rsidR="00CE60AD" w:rsidRPr="002267C6" w:rsidRDefault="00DD6B63" w:rsidP="00F32ADC">
      <w:pPr>
        <w:pStyle w:val="P68B1DB1-BodyText3"/>
        <w:tabs>
          <w:tab w:val="left" w:pos="2317"/>
        </w:tabs>
        <w:ind w:left="2496" w:right="751" w:hanging="2306"/>
        <w:rPr>
          <w:sz w:val="16"/>
          <w:szCs w:val="16"/>
        </w:rPr>
      </w:pPr>
      <w:r w:rsidRPr="002267C6">
        <w:rPr>
          <w:sz w:val="16"/>
          <w:szCs w:val="16"/>
        </w:rPr>
        <w:t>Fatores do paciente</w:t>
      </w:r>
      <w:r w:rsidRPr="002267C6">
        <w:rPr>
          <w:sz w:val="16"/>
          <w:szCs w:val="16"/>
        </w:rPr>
        <w:tab/>
        <w:t>Doença cardíaca estrutural, isquemia coronariana, insuficiência cardíaca congestiva, doença da tireoide, doença do tecido conjuntivo, QTc prolongado adquirido, aumento da idade, HIV, uso de cocaína</w:t>
      </w:r>
    </w:p>
    <w:p w14:paraId="6F51B0DE" w14:textId="77777777" w:rsidR="00CE60AD" w:rsidRPr="00D82498" w:rsidRDefault="00DD6B63">
      <w:pPr>
        <w:pStyle w:val="P68B1DB1-BodyText3"/>
        <w:spacing w:before="139"/>
        <w:ind w:left="2895" w:right="2895"/>
        <w:jc w:val="center"/>
        <w:rPr>
          <w:szCs w:val="18"/>
        </w:rPr>
      </w:pPr>
      <w:r w:rsidRPr="00D82498">
        <w:rPr>
          <w:szCs w:val="18"/>
        </w:rPr>
        <w:t>Tabela 1. Fatores de Risco para Prolongamento do Intervalo QTc</w:t>
      </w:r>
    </w:p>
    <w:p w14:paraId="2BFB39A6" w14:textId="77777777" w:rsidR="00CE60AD" w:rsidRPr="00D82498" w:rsidRDefault="00CE60AD">
      <w:pPr>
        <w:pStyle w:val="Corpodetexto"/>
        <w:rPr>
          <w:szCs w:val="18"/>
        </w:rPr>
      </w:pPr>
    </w:p>
    <w:p w14:paraId="5FDF58AA" w14:textId="73F435CC" w:rsidR="00CE60AD" w:rsidRPr="00F02ED9" w:rsidRDefault="00B43E6A">
      <w:pPr>
        <w:pStyle w:val="P68B1DB1-BodyText3"/>
        <w:spacing w:before="105" w:line="271" w:lineRule="auto"/>
        <w:ind w:left="111" w:right="110"/>
        <w:jc w:val="both"/>
        <w:rPr>
          <w:sz w:val="16"/>
          <w:szCs w:val="16"/>
        </w:rPr>
      </w:pPr>
      <w:r>
        <w:rPr>
          <w:sz w:val="16"/>
          <w:szCs w:val="16"/>
        </w:rPr>
        <w:t>identificou</w:t>
      </w:r>
      <w:r w:rsidR="001A10AA">
        <w:rPr>
          <w:sz w:val="16"/>
          <w:szCs w:val="16"/>
        </w:rPr>
        <w:t xml:space="preserve"> a</w:t>
      </w:r>
      <w:r w:rsidR="00DD6B63" w:rsidRPr="00F02ED9">
        <w:rPr>
          <w:sz w:val="16"/>
          <w:szCs w:val="16"/>
        </w:rPr>
        <w:t xml:space="preserve"> metadona</w:t>
      </w:r>
      <w:r w:rsidR="001A10AA">
        <w:rPr>
          <w:sz w:val="16"/>
          <w:szCs w:val="16"/>
        </w:rPr>
        <w:t xml:space="preserve"> como sendo</w:t>
      </w:r>
      <w:r w:rsidR="00DD6B63" w:rsidRPr="00F02ED9">
        <w:rPr>
          <w:sz w:val="16"/>
          <w:szCs w:val="16"/>
        </w:rPr>
        <w:t xml:space="preserve"> o principal medicamento</w:t>
      </w:r>
      <w:r>
        <w:rPr>
          <w:sz w:val="16"/>
          <w:szCs w:val="16"/>
        </w:rPr>
        <w:t xml:space="preserve"> relacionado</w:t>
      </w:r>
      <w:r w:rsidR="00DD6B63" w:rsidRPr="00F02ED9">
        <w:rPr>
          <w:sz w:val="16"/>
          <w:szCs w:val="16"/>
        </w:rPr>
        <w:t xml:space="preserve"> </w:t>
      </w:r>
      <w:r w:rsidR="00F847A7">
        <w:rPr>
          <w:sz w:val="16"/>
          <w:szCs w:val="16"/>
        </w:rPr>
        <w:t>a</w:t>
      </w:r>
      <w:r w:rsidR="00DD6B63" w:rsidRPr="00F02ED9">
        <w:rPr>
          <w:sz w:val="16"/>
          <w:szCs w:val="16"/>
        </w:rPr>
        <w:t xml:space="preserve">o desenvolvimento de Torsades de Pointes. Recomenda-se que todos os pacientes </w:t>
      </w:r>
      <w:r w:rsidR="00F847A7">
        <w:rPr>
          <w:sz w:val="16"/>
          <w:szCs w:val="16"/>
        </w:rPr>
        <w:t>usando a</w:t>
      </w:r>
      <w:r w:rsidR="00DD6B63" w:rsidRPr="00F02ED9">
        <w:rPr>
          <w:sz w:val="16"/>
          <w:szCs w:val="16"/>
        </w:rPr>
        <w:t xml:space="preserve"> metadona deve</w:t>
      </w:r>
      <w:r w:rsidR="00F847A7">
        <w:rPr>
          <w:sz w:val="16"/>
          <w:szCs w:val="16"/>
        </w:rPr>
        <w:t>m</w:t>
      </w:r>
      <w:r w:rsidR="00DD6B63" w:rsidRPr="00F02ED9">
        <w:rPr>
          <w:sz w:val="16"/>
          <w:szCs w:val="16"/>
        </w:rPr>
        <w:t xml:space="preserve"> </w:t>
      </w:r>
      <w:r w:rsidR="00F847A7">
        <w:rPr>
          <w:sz w:val="16"/>
          <w:szCs w:val="16"/>
        </w:rPr>
        <w:t>realizar um</w:t>
      </w:r>
      <w:r w:rsidR="00DD6B63" w:rsidRPr="00F02ED9">
        <w:rPr>
          <w:sz w:val="16"/>
          <w:szCs w:val="16"/>
        </w:rPr>
        <w:t xml:space="preserve"> eletrocardiograma </w:t>
      </w:r>
      <w:r w:rsidR="00DD6B63" w:rsidRPr="00F02ED9">
        <w:rPr>
          <w:sz w:val="16"/>
          <w:szCs w:val="16"/>
        </w:rPr>
        <w:t>di</w:t>
      </w:r>
      <w:r w:rsidR="00F847A7">
        <w:rPr>
          <w:sz w:val="16"/>
          <w:szCs w:val="16"/>
        </w:rPr>
        <w:t>a</w:t>
      </w:r>
      <w:r w:rsidR="00DD6B63" w:rsidRPr="00F02ED9">
        <w:rPr>
          <w:sz w:val="16"/>
          <w:szCs w:val="16"/>
        </w:rPr>
        <w:t>ria</w:t>
      </w:r>
      <w:r w:rsidR="00F847A7">
        <w:rPr>
          <w:sz w:val="16"/>
          <w:szCs w:val="16"/>
        </w:rPr>
        <w:t>mente</w:t>
      </w:r>
      <w:r w:rsidR="00DD6B63" w:rsidRPr="00F02ED9">
        <w:rPr>
          <w:sz w:val="16"/>
          <w:szCs w:val="16"/>
        </w:rPr>
        <w:t>.</w:t>
      </w:r>
      <w:r w:rsidR="00DD6B63" w:rsidRPr="00F02ED9">
        <w:rPr>
          <w:sz w:val="16"/>
          <w:szCs w:val="16"/>
          <w:vertAlign w:val="superscript"/>
        </w:rPr>
        <w:t>2,7,10</w:t>
      </w:r>
    </w:p>
    <w:p w14:paraId="165956EA" w14:textId="24B324C2" w:rsidR="00CE60AD" w:rsidRPr="00F02ED9" w:rsidRDefault="00DD6B63">
      <w:pPr>
        <w:pStyle w:val="P68B1DB1-BodyText3"/>
        <w:spacing w:before="125" w:line="271" w:lineRule="auto"/>
        <w:ind w:left="112" w:right="110"/>
        <w:jc w:val="both"/>
        <w:rPr>
          <w:sz w:val="16"/>
          <w:szCs w:val="16"/>
        </w:rPr>
      </w:pPr>
      <w:r w:rsidRPr="00F02ED9">
        <w:rPr>
          <w:sz w:val="16"/>
          <w:szCs w:val="16"/>
        </w:rPr>
        <w:t>A metadona interage com indutores e inibidores do CYP2B6 (antipsicóticos, antifúngicos, antibióticos) e medicamentos sinérgicos (como benzodiazepínicos, agentes tricíclicos, etanol). É relativamente contraindicad</w:t>
      </w:r>
      <w:r w:rsidR="002D7C71">
        <w:rPr>
          <w:sz w:val="16"/>
          <w:szCs w:val="16"/>
        </w:rPr>
        <w:t>a</w:t>
      </w:r>
      <w:r w:rsidRPr="00F02ED9">
        <w:rPr>
          <w:sz w:val="16"/>
          <w:szCs w:val="16"/>
        </w:rPr>
        <w:t xml:space="preserve"> em pacientes com risco aumentado de síndrome </w:t>
      </w:r>
      <w:r w:rsidR="002D7C71">
        <w:rPr>
          <w:sz w:val="16"/>
          <w:szCs w:val="16"/>
        </w:rPr>
        <w:t>serotoninérgica</w:t>
      </w:r>
      <w:r w:rsidRPr="00F02ED9">
        <w:rPr>
          <w:sz w:val="16"/>
          <w:szCs w:val="16"/>
        </w:rPr>
        <w:t xml:space="preserve"> na presença de outros agentes que aument</w:t>
      </w:r>
      <w:r w:rsidR="001E47A5">
        <w:rPr>
          <w:sz w:val="16"/>
          <w:szCs w:val="16"/>
        </w:rPr>
        <w:t>e</w:t>
      </w:r>
      <w:r w:rsidRPr="00F02ED9">
        <w:rPr>
          <w:sz w:val="16"/>
          <w:szCs w:val="16"/>
        </w:rPr>
        <w:t>m a atividade da serotonina.</w:t>
      </w:r>
      <w:r w:rsidRPr="00F02ED9">
        <w:rPr>
          <w:sz w:val="16"/>
          <w:szCs w:val="16"/>
          <w:vertAlign w:val="superscript"/>
        </w:rPr>
        <w:t>7</w:t>
      </w:r>
    </w:p>
    <w:p w14:paraId="7C680AB9" w14:textId="77777777" w:rsidR="00CE60AD" w:rsidRPr="00D82498" w:rsidRDefault="00CE60AD">
      <w:pPr>
        <w:pStyle w:val="Corpodetexto"/>
        <w:spacing w:before="5"/>
        <w:rPr>
          <w:szCs w:val="18"/>
        </w:rPr>
      </w:pPr>
    </w:p>
    <w:p w14:paraId="3E70527E" w14:textId="77777777" w:rsidR="00CE60AD" w:rsidRPr="00F02ED9" w:rsidRDefault="00DD6B63">
      <w:pPr>
        <w:pStyle w:val="P68B1DB1-Heading16"/>
        <w:rPr>
          <w:szCs w:val="24"/>
        </w:rPr>
      </w:pPr>
      <w:r w:rsidRPr="00F02ED9">
        <w:rPr>
          <w:szCs w:val="24"/>
        </w:rPr>
        <w:t>BUPRENORFINA</w:t>
      </w:r>
    </w:p>
    <w:p w14:paraId="76198C34" w14:textId="77777777" w:rsidR="00CE60AD" w:rsidRPr="00F02ED9" w:rsidRDefault="00DD6B63">
      <w:pPr>
        <w:pStyle w:val="P68B1DB1-Heading310"/>
        <w:spacing w:before="148"/>
      </w:pPr>
      <w:r w:rsidRPr="00F02ED9">
        <w:t>Mecanismo de Ação</w:t>
      </w:r>
    </w:p>
    <w:p w14:paraId="4D249E53" w14:textId="77777777" w:rsidR="00CE60AD" w:rsidRPr="00D82498" w:rsidRDefault="00DD6B63">
      <w:pPr>
        <w:pStyle w:val="P68B1DB1-BodyText3"/>
        <w:spacing w:before="151" w:line="271" w:lineRule="auto"/>
        <w:ind w:left="112" w:right="110"/>
        <w:jc w:val="both"/>
        <w:rPr>
          <w:szCs w:val="18"/>
        </w:rPr>
      </w:pPr>
      <w:r w:rsidRPr="00D82498">
        <w:rPr>
          <w:szCs w:val="18"/>
        </w:rPr>
        <w:t xml:space="preserve">A buprenorfina, um opioide semissintético, é um agonista mu parcial de ação central e um </w:t>
      </w:r>
      <w:r w:rsidRPr="00354930">
        <w:rPr>
          <w:szCs w:val="18"/>
          <w:highlight w:val="yellow"/>
        </w:rPr>
        <w:t>agonista kappa</w:t>
      </w:r>
      <w:r w:rsidRPr="00D82498">
        <w:rPr>
          <w:szCs w:val="18"/>
        </w:rPr>
        <w:t xml:space="preserve"> e antagonista </w:t>
      </w:r>
      <w:r w:rsidRPr="00D82498">
        <w:rPr>
          <w:szCs w:val="18"/>
        </w:rPr>
        <w:t>delta/noiciceptina.</w:t>
      </w:r>
      <w:r w:rsidRPr="00D82498">
        <w:rPr>
          <w:szCs w:val="18"/>
          <w:vertAlign w:val="superscript"/>
        </w:rPr>
        <w:t>4,11-14</w:t>
      </w:r>
      <w:r w:rsidRPr="00D82498">
        <w:rPr>
          <w:szCs w:val="18"/>
        </w:rPr>
        <w:t xml:space="preserve"> Tem uma alta afinidade para todos os 3 receptores opioides com dissociação lenta. Suas propriedades agonistas-antagonistas únicas conferem inúmeras vantagens de uso.</w:t>
      </w:r>
    </w:p>
    <w:p w14:paraId="10DAC4AD" w14:textId="77777777" w:rsidR="00CE60AD" w:rsidRDefault="00CE60AD">
      <w:pPr>
        <w:pStyle w:val="Corpodetexto"/>
        <w:spacing w:before="2"/>
        <w:rPr>
          <w:szCs w:val="18"/>
        </w:rPr>
      </w:pPr>
    </w:p>
    <w:p w14:paraId="666BD494" w14:textId="77777777" w:rsidR="002078A3" w:rsidRPr="00D82498" w:rsidRDefault="002078A3">
      <w:pPr>
        <w:pStyle w:val="Corpodetexto"/>
        <w:spacing w:before="2"/>
        <w:rPr>
          <w:szCs w:val="18"/>
        </w:rPr>
      </w:pPr>
    </w:p>
    <w:p w14:paraId="33B7D141" w14:textId="77777777" w:rsidR="00CE60AD" w:rsidRPr="000D552C" w:rsidRDefault="00DD6B63">
      <w:pPr>
        <w:pStyle w:val="P68B1DB1-Heading310"/>
        <w:spacing w:before="1"/>
      </w:pPr>
      <w:r w:rsidRPr="000D552C">
        <w:t>Formulações</w:t>
      </w:r>
    </w:p>
    <w:p w14:paraId="2DE36B21" w14:textId="49AB79F9" w:rsidR="00CE60AD" w:rsidRPr="00D82498" w:rsidRDefault="00DD6B63">
      <w:pPr>
        <w:pStyle w:val="P68B1DB1-BodyText3"/>
        <w:spacing w:before="150" w:line="271" w:lineRule="auto"/>
        <w:ind w:left="112" w:right="110"/>
        <w:jc w:val="both"/>
        <w:rPr>
          <w:szCs w:val="18"/>
        </w:rPr>
      </w:pPr>
      <w:r w:rsidRPr="00D82498">
        <w:rPr>
          <w:szCs w:val="18"/>
        </w:rPr>
        <w:t xml:space="preserve">A buprenorfina está disponível para uso </w:t>
      </w:r>
      <w:r w:rsidRPr="00D82498">
        <w:rPr>
          <w:szCs w:val="18"/>
        </w:rPr>
        <w:t xml:space="preserve">oral, sublingual, intramuscular, transdérmico, epidural, intratecal e parenteral. A biodisponibilidade da buprenorfina oral é extremamente </w:t>
      </w:r>
      <w:r w:rsidR="00064F02">
        <w:rPr>
          <w:szCs w:val="18"/>
        </w:rPr>
        <w:t>limitada</w:t>
      </w:r>
      <w:r w:rsidRPr="00D82498">
        <w:rPr>
          <w:szCs w:val="18"/>
        </w:rPr>
        <w:t xml:space="preserve"> devido ao metabolismo de primeira passagem; assim, a dosagem oral não é recomendada, mas oferece a oportunidade única para uso sublingual e transdérmico.</w:t>
      </w:r>
      <w:r w:rsidRPr="00D82498">
        <w:rPr>
          <w:szCs w:val="18"/>
          <w:vertAlign w:val="superscript"/>
        </w:rPr>
        <w:t>4</w:t>
      </w:r>
    </w:p>
    <w:p w14:paraId="08919387" w14:textId="77777777" w:rsidR="00CE60AD" w:rsidRPr="00D82498" w:rsidRDefault="00CE60AD">
      <w:pPr>
        <w:pStyle w:val="Corpodetexto"/>
        <w:spacing w:before="5"/>
        <w:rPr>
          <w:szCs w:val="18"/>
        </w:rPr>
      </w:pPr>
    </w:p>
    <w:p w14:paraId="53D560E8" w14:textId="6A2907F9" w:rsidR="00CE60AD" w:rsidRPr="00F02ED9" w:rsidRDefault="00DD6B63">
      <w:pPr>
        <w:pStyle w:val="P68B1DB1-Heading29"/>
        <w:rPr>
          <w:szCs w:val="24"/>
        </w:rPr>
      </w:pPr>
      <w:r w:rsidRPr="00F02ED9">
        <w:rPr>
          <w:szCs w:val="24"/>
        </w:rPr>
        <w:t xml:space="preserve">Farmacocinética </w:t>
      </w:r>
    </w:p>
    <w:p w14:paraId="3BF38D55" w14:textId="77777777" w:rsidR="00CE60AD" w:rsidRPr="00F02ED9" w:rsidRDefault="00DD6B63">
      <w:pPr>
        <w:pStyle w:val="P68B1DB1-Heading310"/>
        <w:spacing w:before="148"/>
      </w:pPr>
      <w:r w:rsidRPr="00F02ED9">
        <w:t>Absorção/ Distribuição:</w:t>
      </w:r>
    </w:p>
    <w:p w14:paraId="0981C2AF" w14:textId="77777777" w:rsidR="00CE60AD" w:rsidRPr="00D82498" w:rsidRDefault="00DD6B63">
      <w:pPr>
        <w:pStyle w:val="P68B1DB1-BodyText3"/>
        <w:spacing w:before="151"/>
        <w:ind w:left="112"/>
        <w:rPr>
          <w:szCs w:val="18"/>
        </w:rPr>
      </w:pPr>
      <w:r w:rsidRPr="00D82498">
        <w:rPr>
          <w:szCs w:val="18"/>
        </w:rPr>
        <w:t>A biodisponibilidade da buprenorfina é de 15% a 50% como adesivo transdérmico e 30% quando administrada por via sublingual.</w:t>
      </w:r>
      <w:r w:rsidRPr="00D82498">
        <w:rPr>
          <w:szCs w:val="18"/>
          <w:vertAlign w:val="superscript"/>
        </w:rPr>
        <w:t>4</w:t>
      </w:r>
    </w:p>
    <w:p w14:paraId="52166E04" w14:textId="77777777" w:rsidR="00CE60AD" w:rsidRPr="00D82498" w:rsidRDefault="00CE60AD">
      <w:pPr>
        <w:pStyle w:val="Corpodetexto"/>
        <w:spacing w:before="8"/>
        <w:rPr>
          <w:szCs w:val="18"/>
        </w:rPr>
      </w:pPr>
    </w:p>
    <w:p w14:paraId="4187835E" w14:textId="77777777" w:rsidR="00CE60AD" w:rsidRPr="00F02ED9" w:rsidRDefault="00DD6B63">
      <w:pPr>
        <w:pStyle w:val="P68B1DB1-Heading310"/>
        <w:spacing w:before="1"/>
      </w:pPr>
      <w:r w:rsidRPr="00F02ED9">
        <w:t>Metabolismo e Excreção</w:t>
      </w:r>
    </w:p>
    <w:p w14:paraId="06C786EB" w14:textId="6F7ECD47" w:rsidR="00CE60AD" w:rsidRPr="00D82498" w:rsidRDefault="00DD6B63">
      <w:pPr>
        <w:pStyle w:val="P68B1DB1-BodyText3"/>
        <w:spacing w:before="150" w:line="268" w:lineRule="auto"/>
        <w:ind w:left="111" w:right="109"/>
        <w:jc w:val="both"/>
        <w:rPr>
          <w:szCs w:val="18"/>
        </w:rPr>
      </w:pPr>
      <w:r w:rsidRPr="00D82498">
        <w:rPr>
          <w:szCs w:val="18"/>
        </w:rPr>
        <w:t xml:space="preserve">A </w:t>
      </w:r>
      <w:r w:rsidRPr="00DD6B63">
        <w:rPr>
          <w:szCs w:val="18"/>
        </w:rPr>
        <w:t xml:space="preserve">buprenorfina é metabolizada no fígado através do sistema do citocromo P450 para um metabolito ativo, a norbuprenorfina. A </w:t>
      </w:r>
      <w:r w:rsidRPr="00DD6B63">
        <w:rPr>
          <w:szCs w:val="18"/>
          <w:highlight w:val="yellow"/>
        </w:rPr>
        <w:t>norbuprenorfina possui 25</w:t>
      </w:r>
      <w:r w:rsidRPr="00DD6B63">
        <w:rPr>
          <w:szCs w:val="18"/>
        </w:rPr>
        <w:t>% da potência d</w:t>
      </w:r>
      <w:r w:rsidRPr="00DD6B63">
        <w:rPr>
          <w:szCs w:val="18"/>
        </w:rPr>
        <w:t>a buprenorfina e pode ser mais propensa a causar depressão respiratória do que a buprenorfina. Tanto a buprenorfina</w:t>
      </w:r>
      <w:r w:rsidRPr="00D82498">
        <w:rPr>
          <w:szCs w:val="18"/>
        </w:rPr>
        <w:t xml:space="preserve"> como a norbuprenorfina são metabolizadas no fígado e a maioria (70%) é excretada nas fezes.</w:t>
      </w:r>
      <w:r w:rsidRPr="00D82498">
        <w:rPr>
          <w:szCs w:val="18"/>
          <w:vertAlign w:val="superscript"/>
        </w:rPr>
        <w:t>4</w:t>
      </w:r>
      <w:r w:rsidRPr="00D82498">
        <w:rPr>
          <w:szCs w:val="18"/>
        </w:rPr>
        <w:t xml:space="preserve"> </w:t>
      </w:r>
    </w:p>
    <w:p w14:paraId="2F8F89B6" w14:textId="77777777" w:rsidR="00CE60AD" w:rsidRPr="00D82498" w:rsidRDefault="00CE60AD">
      <w:pPr>
        <w:pStyle w:val="Corpodetexto"/>
        <w:spacing w:before="2"/>
        <w:rPr>
          <w:szCs w:val="18"/>
        </w:rPr>
      </w:pPr>
    </w:p>
    <w:p w14:paraId="30A2E8A1" w14:textId="072DD04C" w:rsidR="00CE60AD" w:rsidRPr="00F02ED9" w:rsidRDefault="00DD6B63">
      <w:pPr>
        <w:pStyle w:val="P68B1DB1-Heading29"/>
        <w:rPr>
          <w:szCs w:val="24"/>
        </w:rPr>
      </w:pPr>
      <w:r w:rsidRPr="00F02ED9">
        <w:rPr>
          <w:szCs w:val="24"/>
        </w:rPr>
        <w:t xml:space="preserve">Farmacodinâmica </w:t>
      </w:r>
    </w:p>
    <w:p w14:paraId="74C33656" w14:textId="77777777" w:rsidR="00CE60AD" w:rsidRPr="00D82498" w:rsidRDefault="00DD6B63">
      <w:pPr>
        <w:pStyle w:val="P68B1DB1-BodyText3"/>
        <w:spacing w:before="146"/>
        <w:ind w:left="112"/>
        <w:jc w:val="both"/>
        <w:rPr>
          <w:szCs w:val="18"/>
        </w:rPr>
      </w:pPr>
      <w:r w:rsidRPr="00D82498">
        <w:rPr>
          <w:szCs w:val="18"/>
        </w:rPr>
        <w:t>Os efeitos clínicos da buprenorfina dependem da modalidade de administração (consulte a Tabela 2).</w:t>
      </w:r>
    </w:p>
    <w:p w14:paraId="000876E2" w14:textId="77777777" w:rsidR="00CE60AD" w:rsidRPr="00D82498" w:rsidRDefault="00CE60AD">
      <w:pPr>
        <w:pStyle w:val="Corpodetexto"/>
        <w:spacing w:before="8" w:after="1"/>
        <w:rPr>
          <w:szCs w:val="1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254"/>
        <w:gridCol w:w="1764"/>
        <w:gridCol w:w="2010"/>
        <w:gridCol w:w="2887"/>
      </w:tblGrid>
      <w:tr w:rsidR="00CE60AD" w:rsidRPr="00D82498" w14:paraId="24C5A094" w14:textId="77777777">
        <w:trPr>
          <w:trHeight w:val="328"/>
        </w:trPr>
        <w:tc>
          <w:tcPr>
            <w:tcW w:w="3254" w:type="dxa"/>
            <w:shd w:val="clear" w:color="auto" w:fill="7DC04D"/>
          </w:tcPr>
          <w:p w14:paraId="5FC57678" w14:textId="77777777" w:rsidR="00CE60AD" w:rsidRPr="00D82498" w:rsidRDefault="00CE60A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7DC04D"/>
          </w:tcPr>
          <w:p w14:paraId="355EC68B" w14:textId="77777777" w:rsidR="00CE60AD" w:rsidRPr="00D82498" w:rsidRDefault="00DD6B63">
            <w:pPr>
              <w:pStyle w:val="P68B1DB1-TableParagraph11"/>
              <w:spacing w:before="60"/>
              <w:ind w:left="554"/>
              <w:rPr>
                <w:szCs w:val="18"/>
              </w:rPr>
            </w:pPr>
            <w:bookmarkStart w:id="1" w:name="t02"/>
            <w:bookmarkEnd w:id="1"/>
            <w:r w:rsidRPr="00D82498">
              <w:rPr>
                <w:szCs w:val="18"/>
              </w:rPr>
              <w:t>Parenteral</w:t>
            </w:r>
          </w:p>
        </w:tc>
        <w:tc>
          <w:tcPr>
            <w:tcW w:w="2010" w:type="dxa"/>
            <w:shd w:val="clear" w:color="auto" w:fill="7DC04D"/>
          </w:tcPr>
          <w:p w14:paraId="0FF387A8" w14:textId="77777777" w:rsidR="00CE60AD" w:rsidRPr="00D82498" w:rsidRDefault="00DD6B63">
            <w:pPr>
              <w:pStyle w:val="P68B1DB1-TableParagraph11"/>
              <w:spacing w:before="60"/>
              <w:ind w:left="357"/>
              <w:rPr>
                <w:szCs w:val="18"/>
              </w:rPr>
            </w:pPr>
            <w:r w:rsidRPr="00D82498">
              <w:rPr>
                <w:szCs w:val="18"/>
              </w:rPr>
              <w:t xml:space="preserve">Filme </w:t>
            </w:r>
            <w:r w:rsidRPr="00D82498">
              <w:rPr>
                <w:szCs w:val="18"/>
              </w:rPr>
              <w:t>Sublingual</w:t>
            </w:r>
          </w:p>
        </w:tc>
        <w:tc>
          <w:tcPr>
            <w:tcW w:w="2887" w:type="dxa"/>
            <w:shd w:val="clear" w:color="auto" w:fill="7DC04D"/>
          </w:tcPr>
          <w:p w14:paraId="0CA8049D" w14:textId="77777777" w:rsidR="00CE60AD" w:rsidRPr="00D82498" w:rsidRDefault="00DD6B63">
            <w:pPr>
              <w:pStyle w:val="P68B1DB1-TableParagraph11"/>
              <w:spacing w:before="60"/>
              <w:ind w:left="1039"/>
              <w:rPr>
                <w:szCs w:val="18"/>
              </w:rPr>
            </w:pPr>
            <w:r w:rsidRPr="00D82498">
              <w:rPr>
                <w:szCs w:val="18"/>
              </w:rPr>
              <w:t>Transdérmica</w:t>
            </w:r>
          </w:p>
        </w:tc>
      </w:tr>
      <w:tr w:rsidR="00CE60AD" w:rsidRPr="00D82498" w14:paraId="5A441BAF" w14:textId="77777777">
        <w:trPr>
          <w:trHeight w:val="284"/>
        </w:trPr>
        <w:tc>
          <w:tcPr>
            <w:tcW w:w="3254" w:type="dxa"/>
            <w:tcBorders>
              <w:left w:val="single" w:sz="12" w:space="0" w:color="7DC04D"/>
            </w:tcBorders>
          </w:tcPr>
          <w:p w14:paraId="4CAE0151" w14:textId="77777777" w:rsidR="00CE60AD" w:rsidRPr="00D82498" w:rsidRDefault="00DD6B63">
            <w:pPr>
              <w:pStyle w:val="P68B1DB1-TableParagraph11"/>
              <w:spacing w:before="50"/>
              <w:rPr>
                <w:szCs w:val="18"/>
              </w:rPr>
            </w:pPr>
            <w:r w:rsidRPr="00D82498">
              <w:rPr>
                <w:szCs w:val="18"/>
              </w:rPr>
              <w:t>Formulações (</w:t>
            </w:r>
            <w:r w:rsidRPr="00D82498">
              <w:rPr>
                <w:rFonts w:ascii="Times New Roman"/>
                <w:szCs w:val="18"/>
              </w:rPr>
              <w:t>lg</w:t>
            </w:r>
            <w:r w:rsidRPr="00D82498">
              <w:rPr>
                <w:szCs w:val="18"/>
              </w:rPr>
              <w:t>)</w:t>
            </w:r>
          </w:p>
        </w:tc>
        <w:tc>
          <w:tcPr>
            <w:tcW w:w="1764" w:type="dxa"/>
          </w:tcPr>
          <w:p w14:paraId="4A755911" w14:textId="77777777" w:rsidR="00CE60AD" w:rsidRPr="00D82498" w:rsidRDefault="00DD6B63">
            <w:pPr>
              <w:pStyle w:val="P68B1DB1-TableParagraph11"/>
              <w:spacing w:before="50"/>
              <w:ind w:left="486"/>
              <w:rPr>
                <w:szCs w:val="18"/>
              </w:rPr>
            </w:pPr>
            <w:r w:rsidRPr="00D82498">
              <w:rPr>
                <w:szCs w:val="18"/>
              </w:rPr>
              <w:t>300</w:t>
            </w:r>
          </w:p>
        </w:tc>
        <w:tc>
          <w:tcPr>
            <w:tcW w:w="2010" w:type="dxa"/>
          </w:tcPr>
          <w:p w14:paraId="12E6B672" w14:textId="77777777" w:rsidR="00CE60AD" w:rsidRPr="00D82498" w:rsidRDefault="00DD6B63">
            <w:pPr>
              <w:pStyle w:val="P68B1DB1-TableParagraph11"/>
              <w:spacing w:before="50"/>
              <w:ind w:left="577"/>
              <w:rPr>
                <w:szCs w:val="18"/>
              </w:rPr>
            </w:pPr>
            <w:r w:rsidRPr="00D82498">
              <w:rPr>
                <w:szCs w:val="18"/>
              </w:rPr>
              <w:t>200</w:t>
            </w:r>
          </w:p>
        </w:tc>
        <w:tc>
          <w:tcPr>
            <w:tcW w:w="2887" w:type="dxa"/>
            <w:tcBorders>
              <w:right w:val="single" w:sz="12" w:space="0" w:color="7DC04D"/>
            </w:tcBorders>
          </w:tcPr>
          <w:p w14:paraId="37F20204" w14:textId="77777777" w:rsidR="00CE60AD" w:rsidRPr="00D82498" w:rsidRDefault="00DD6B63">
            <w:pPr>
              <w:pStyle w:val="P68B1DB1-TableParagraph11"/>
              <w:spacing w:before="50"/>
              <w:ind w:left="308"/>
              <w:rPr>
                <w:szCs w:val="18"/>
              </w:rPr>
            </w:pPr>
            <w:r w:rsidRPr="00D82498">
              <w:rPr>
                <w:szCs w:val="18"/>
              </w:rPr>
              <w:t xml:space="preserve">Adesivo de 5, 7,5, 10, 15 ou 20 </w:t>
            </w:r>
            <w:r w:rsidRPr="00D82498">
              <w:rPr>
                <w:rFonts w:ascii="Times New Roman"/>
                <w:szCs w:val="18"/>
              </w:rPr>
              <w:t>lg</w:t>
            </w:r>
            <w:r w:rsidRPr="00D82498">
              <w:rPr>
                <w:szCs w:val="18"/>
              </w:rPr>
              <w:t>/h</w:t>
            </w:r>
          </w:p>
        </w:tc>
      </w:tr>
      <w:tr w:rsidR="00CE60AD" w:rsidRPr="00D82498" w14:paraId="614A04B8" w14:textId="77777777">
        <w:trPr>
          <w:trHeight w:val="211"/>
        </w:trPr>
        <w:tc>
          <w:tcPr>
            <w:tcW w:w="3254" w:type="dxa"/>
            <w:tcBorders>
              <w:left w:val="single" w:sz="12" w:space="0" w:color="7DC04D"/>
            </w:tcBorders>
          </w:tcPr>
          <w:p w14:paraId="01E6E650" w14:textId="77777777" w:rsidR="00CE60AD" w:rsidRPr="00D82498" w:rsidRDefault="00DD6B63">
            <w:pPr>
              <w:pStyle w:val="P68B1DB1-TableParagraph11"/>
              <w:spacing w:line="191" w:lineRule="exact"/>
              <w:rPr>
                <w:szCs w:val="18"/>
              </w:rPr>
            </w:pPr>
            <w:r w:rsidRPr="00D82498">
              <w:rPr>
                <w:szCs w:val="18"/>
              </w:rPr>
              <w:t>Início (min)</w:t>
            </w:r>
          </w:p>
        </w:tc>
        <w:tc>
          <w:tcPr>
            <w:tcW w:w="1764" w:type="dxa"/>
          </w:tcPr>
          <w:p w14:paraId="121E4775" w14:textId="77777777" w:rsidR="00CE60AD" w:rsidRPr="00D82498" w:rsidRDefault="00DD6B63">
            <w:pPr>
              <w:pStyle w:val="P68B1DB1-TableParagraph11"/>
              <w:spacing w:line="191" w:lineRule="exact"/>
              <w:ind w:left="486"/>
              <w:rPr>
                <w:szCs w:val="18"/>
              </w:rPr>
            </w:pPr>
            <w:r w:rsidRPr="00D82498">
              <w:rPr>
                <w:szCs w:val="18"/>
              </w:rPr>
              <w:t>2-15</w:t>
            </w:r>
          </w:p>
        </w:tc>
        <w:tc>
          <w:tcPr>
            <w:tcW w:w="2010" w:type="dxa"/>
          </w:tcPr>
          <w:p w14:paraId="2EA8166B" w14:textId="77777777" w:rsidR="00CE60AD" w:rsidRPr="00D82498" w:rsidRDefault="00DD6B63">
            <w:pPr>
              <w:pStyle w:val="P68B1DB1-TableParagraph11"/>
              <w:spacing w:line="191" w:lineRule="exact"/>
              <w:ind w:left="577"/>
              <w:rPr>
                <w:szCs w:val="18"/>
              </w:rPr>
            </w:pPr>
            <w:r w:rsidRPr="00D82498">
              <w:rPr>
                <w:szCs w:val="18"/>
              </w:rPr>
              <w:t>15-45</w:t>
            </w:r>
          </w:p>
        </w:tc>
        <w:tc>
          <w:tcPr>
            <w:tcW w:w="2887" w:type="dxa"/>
            <w:tcBorders>
              <w:right w:val="single" w:sz="12" w:space="0" w:color="7DC04D"/>
            </w:tcBorders>
          </w:tcPr>
          <w:p w14:paraId="0170D939" w14:textId="77777777" w:rsidR="00CE60AD" w:rsidRPr="00D82498" w:rsidRDefault="00DD6B63">
            <w:pPr>
              <w:pStyle w:val="P68B1DB1-TableParagraph11"/>
              <w:spacing w:line="191" w:lineRule="exact"/>
              <w:ind w:left="308"/>
              <w:rPr>
                <w:szCs w:val="18"/>
              </w:rPr>
            </w:pPr>
            <w:r w:rsidRPr="00D82498">
              <w:rPr>
                <w:szCs w:val="18"/>
              </w:rPr>
              <w:t>12-24</w:t>
            </w:r>
          </w:p>
        </w:tc>
      </w:tr>
      <w:tr w:rsidR="00CE60AD" w:rsidRPr="00D82498" w14:paraId="1FC22EFE" w14:textId="77777777">
        <w:trPr>
          <w:trHeight w:val="217"/>
        </w:trPr>
        <w:tc>
          <w:tcPr>
            <w:tcW w:w="3254" w:type="dxa"/>
            <w:tcBorders>
              <w:left w:val="single" w:sz="12" w:space="0" w:color="7DC04D"/>
            </w:tcBorders>
          </w:tcPr>
          <w:p w14:paraId="6FA3FCB4" w14:textId="77777777" w:rsidR="00CE60AD" w:rsidRPr="00D82498" w:rsidRDefault="00DD6B63">
            <w:pPr>
              <w:pStyle w:val="P68B1DB1-TableParagraph11"/>
              <w:spacing w:line="197" w:lineRule="exact"/>
              <w:rPr>
                <w:szCs w:val="18"/>
              </w:rPr>
            </w:pPr>
            <w:r w:rsidRPr="00D82498">
              <w:rPr>
                <w:szCs w:val="18"/>
              </w:rPr>
              <w:t>Concentração plasmática máxima (min)*</w:t>
            </w:r>
          </w:p>
        </w:tc>
        <w:tc>
          <w:tcPr>
            <w:tcW w:w="1764" w:type="dxa"/>
          </w:tcPr>
          <w:p w14:paraId="01228659" w14:textId="77777777" w:rsidR="00CE60AD" w:rsidRPr="00D82498" w:rsidRDefault="00DD6B63">
            <w:pPr>
              <w:pStyle w:val="P68B1DB1-TableParagraph11"/>
              <w:spacing w:line="197" w:lineRule="exact"/>
              <w:ind w:left="486"/>
              <w:rPr>
                <w:szCs w:val="18"/>
              </w:rPr>
            </w:pPr>
            <w:r w:rsidRPr="00D82498">
              <w:rPr>
                <w:szCs w:val="18"/>
              </w:rPr>
              <w:t>5 min</w:t>
            </w:r>
          </w:p>
        </w:tc>
        <w:tc>
          <w:tcPr>
            <w:tcW w:w="2010" w:type="dxa"/>
          </w:tcPr>
          <w:p w14:paraId="2488A8AD" w14:textId="77777777" w:rsidR="00CE60AD" w:rsidRPr="00D82498" w:rsidRDefault="00DD6B63">
            <w:pPr>
              <w:pStyle w:val="P68B1DB1-TableParagraph11"/>
              <w:spacing w:line="197" w:lineRule="exact"/>
              <w:ind w:left="577"/>
              <w:rPr>
                <w:szCs w:val="18"/>
              </w:rPr>
            </w:pPr>
            <w:r w:rsidRPr="00D82498">
              <w:rPr>
                <w:szCs w:val="18"/>
              </w:rPr>
              <w:t>60 - 90</w:t>
            </w:r>
          </w:p>
        </w:tc>
        <w:tc>
          <w:tcPr>
            <w:tcW w:w="2887" w:type="dxa"/>
            <w:tcBorders>
              <w:right w:val="single" w:sz="12" w:space="0" w:color="7DC04D"/>
            </w:tcBorders>
          </w:tcPr>
          <w:p w14:paraId="29BBABFF" w14:textId="77777777" w:rsidR="00CE60AD" w:rsidRPr="00D82498" w:rsidRDefault="00DD6B63">
            <w:pPr>
              <w:pStyle w:val="P68B1DB1-TableParagraph11"/>
              <w:spacing w:line="197" w:lineRule="exact"/>
              <w:ind w:left="308"/>
              <w:rPr>
                <w:szCs w:val="18"/>
              </w:rPr>
            </w:pPr>
            <w:r w:rsidRPr="00D82498">
              <w:rPr>
                <w:szCs w:val="18"/>
              </w:rPr>
              <w:t>24-48 h para atingir o estado estacionário</w:t>
            </w:r>
          </w:p>
        </w:tc>
      </w:tr>
      <w:tr w:rsidR="00CE60AD" w:rsidRPr="00D82498" w14:paraId="2E2D6FC7" w14:textId="77777777">
        <w:trPr>
          <w:trHeight w:val="935"/>
        </w:trPr>
        <w:tc>
          <w:tcPr>
            <w:tcW w:w="9915" w:type="dxa"/>
            <w:gridSpan w:val="4"/>
            <w:tcBorders>
              <w:left w:val="single" w:sz="12" w:space="0" w:color="7DC04D"/>
              <w:bottom w:val="single" w:sz="12" w:space="0" w:color="7DC04D"/>
              <w:right w:val="single" w:sz="12" w:space="0" w:color="7DC04D"/>
            </w:tcBorders>
          </w:tcPr>
          <w:p w14:paraId="77917DD4" w14:textId="77777777" w:rsidR="00CE60AD" w:rsidRPr="00D82498" w:rsidRDefault="00DD6B63">
            <w:pPr>
              <w:pStyle w:val="P68B1DB1-TableParagraph11"/>
              <w:tabs>
                <w:tab w:val="left" w:pos="4576"/>
                <w:tab w:val="left" w:pos="7336"/>
              </w:tabs>
              <w:spacing w:line="254" w:lineRule="auto"/>
              <w:ind w:left="4572" w:right="1851" w:hanging="4509"/>
              <w:rPr>
                <w:szCs w:val="18"/>
              </w:rPr>
            </w:pPr>
            <w:r w:rsidRPr="00D82498">
              <w:rPr>
                <w:szCs w:val="18"/>
              </w:rPr>
              <w:t>Duração da ação*</w:t>
            </w:r>
            <w:r w:rsidRPr="00D82498">
              <w:rPr>
                <w:szCs w:val="18"/>
              </w:rPr>
              <w:tab/>
            </w:r>
            <w:r w:rsidRPr="00D82498">
              <w:rPr>
                <w:szCs w:val="18"/>
              </w:rPr>
              <w:tab/>
              <w:t>6-12 h se, 4 mg</w:t>
            </w:r>
            <w:r w:rsidRPr="00D82498">
              <w:rPr>
                <w:szCs w:val="18"/>
              </w:rPr>
              <w:tab/>
              <w:t>3 ou 7</w:t>
            </w:r>
            <w:r w:rsidRPr="00D82498">
              <w:rPr>
                <w:szCs w:val="18"/>
              </w:rPr>
              <w:t xml:space="preserve"> d 24-72 h.4 mg</w:t>
            </w:r>
          </w:p>
          <w:p w14:paraId="23953560" w14:textId="77777777" w:rsidR="00CE60AD" w:rsidRPr="00D82498" w:rsidRDefault="00DD6B63">
            <w:pPr>
              <w:pStyle w:val="P68B1DB1-TableParagraph11"/>
              <w:tabs>
                <w:tab w:val="left" w:pos="3725"/>
                <w:tab w:val="left" w:pos="5580"/>
                <w:tab w:val="left" w:pos="7336"/>
              </w:tabs>
              <w:spacing w:line="252" w:lineRule="auto"/>
              <w:ind w:left="243" w:right="1087" w:hanging="180"/>
              <w:rPr>
                <w:szCs w:val="18"/>
              </w:rPr>
            </w:pPr>
            <w:r w:rsidRPr="00D82498">
              <w:rPr>
                <w:szCs w:val="18"/>
              </w:rPr>
              <w:t>Buprenorfina (</w:t>
            </w:r>
            <w:r w:rsidRPr="00D82498">
              <w:rPr>
                <w:rFonts w:ascii="Times New Roman" w:hAnsi="Times New Roman"/>
                <w:szCs w:val="18"/>
              </w:rPr>
              <w:t>lg</w:t>
            </w:r>
            <w:r w:rsidRPr="00D82498">
              <w:rPr>
                <w:szCs w:val="18"/>
              </w:rPr>
              <w:t>) ¼ morfina (mg)</w:t>
            </w:r>
            <w:r w:rsidRPr="00D82498">
              <w:rPr>
                <w:szCs w:val="18"/>
              </w:rPr>
              <w:tab/>
              <w:t xml:space="preserve">300 </w:t>
            </w:r>
            <w:r w:rsidRPr="00D82498">
              <w:rPr>
                <w:rFonts w:ascii="Times New Roman" w:hAnsi="Times New Roman"/>
                <w:szCs w:val="18"/>
              </w:rPr>
              <w:t>lg</w:t>
            </w:r>
            <w:r w:rsidRPr="00D82498">
              <w:rPr>
                <w:szCs w:val="18"/>
              </w:rPr>
              <w:t xml:space="preserve"> ¼ 10</w:t>
            </w:r>
            <w:r w:rsidRPr="00D82498">
              <w:rPr>
                <w:szCs w:val="18"/>
              </w:rPr>
              <w:tab/>
              <w:t xml:space="preserve">200 </w:t>
            </w:r>
            <w:r w:rsidRPr="00D82498">
              <w:rPr>
                <w:rFonts w:ascii="Times New Roman" w:hAnsi="Times New Roman"/>
                <w:szCs w:val="18"/>
              </w:rPr>
              <w:t>lg</w:t>
            </w:r>
            <w:r w:rsidRPr="00D82498">
              <w:rPr>
                <w:szCs w:val="18"/>
              </w:rPr>
              <w:t xml:space="preserve"> ¼ 8</w:t>
            </w:r>
            <w:r w:rsidRPr="00D82498">
              <w:rPr>
                <w:szCs w:val="18"/>
              </w:rPr>
              <w:tab/>
              <w:t xml:space="preserve">5 </w:t>
            </w:r>
            <w:r w:rsidRPr="00D82498">
              <w:rPr>
                <w:rFonts w:ascii="Times New Roman" w:hAnsi="Times New Roman"/>
                <w:szCs w:val="18"/>
              </w:rPr>
              <w:t>lg</w:t>
            </w:r>
            <w:r w:rsidRPr="00D82498">
              <w:rPr>
                <w:szCs w:val="18"/>
              </w:rPr>
              <w:t>/h adesivo ¼ 10 equivalência**</w:t>
            </w:r>
          </w:p>
        </w:tc>
      </w:tr>
    </w:tbl>
    <w:p w14:paraId="2025FF36" w14:textId="77777777" w:rsidR="00CE60AD" w:rsidRPr="002078A3" w:rsidRDefault="00DD6B63">
      <w:pPr>
        <w:pStyle w:val="P68B1DB1-BodyText3"/>
        <w:spacing w:before="67" w:line="254" w:lineRule="auto"/>
        <w:ind w:left="707" w:hanging="564"/>
        <w:rPr>
          <w:sz w:val="12"/>
          <w:szCs w:val="12"/>
        </w:rPr>
      </w:pPr>
      <w:r w:rsidRPr="002078A3">
        <w:rPr>
          <w:sz w:val="12"/>
          <w:szCs w:val="12"/>
        </w:rPr>
        <w:t>Tabela 2. Propriedades farmacológicas da buprenorfina em diferentes formulações.</w:t>
      </w:r>
      <w:r w:rsidRPr="002078A3">
        <w:rPr>
          <w:sz w:val="12"/>
          <w:szCs w:val="12"/>
          <w:vertAlign w:val="superscript"/>
        </w:rPr>
        <w:t>1,3,15</w:t>
      </w:r>
      <w:r w:rsidRPr="002078A3">
        <w:rPr>
          <w:sz w:val="12"/>
          <w:szCs w:val="12"/>
        </w:rPr>
        <w:t xml:space="preserve"> *Dose relacionada. ** Calculado usando a calculadora de conversão de opioides pela Faculdade de Medicina da Dor, Colégio de Anestesistas da Austrália e Nova Zelândia</w:t>
      </w:r>
    </w:p>
    <w:p w14:paraId="6CBC6CE4" w14:textId="77777777" w:rsidR="00CE60AD" w:rsidRPr="00D82498" w:rsidRDefault="00CE60AD">
      <w:pPr>
        <w:spacing w:line="254" w:lineRule="auto"/>
        <w:rPr>
          <w:sz w:val="18"/>
          <w:szCs w:val="18"/>
        </w:rPr>
        <w:sectPr w:rsidR="00CE60AD" w:rsidRPr="00D82498">
          <w:type w:val="continuous"/>
          <w:pgSz w:w="12240" w:h="15840"/>
          <w:pgMar w:top="0" w:right="1040" w:bottom="1160" w:left="1040" w:header="0" w:footer="962" w:gutter="0"/>
          <w:cols w:space="720"/>
        </w:sectPr>
      </w:pPr>
    </w:p>
    <w:p w14:paraId="13AA6276" w14:textId="77777777" w:rsidR="00CE60AD" w:rsidRPr="00F02ED9" w:rsidRDefault="00DD6B63">
      <w:pPr>
        <w:pStyle w:val="P68B1DB1-Heading310"/>
        <w:spacing w:before="48"/>
      </w:pPr>
      <w:r w:rsidRPr="00F02ED9">
        <w:lastRenderedPageBreak/>
        <w:t>Sistema Nervoso Central</w:t>
      </w:r>
    </w:p>
    <w:p w14:paraId="0A90179F" w14:textId="77777777" w:rsidR="00CE60AD" w:rsidRPr="00AC74E9" w:rsidRDefault="00DD6B63">
      <w:pPr>
        <w:pStyle w:val="P68B1DB1-BodyText3"/>
        <w:spacing w:before="141" w:line="261" w:lineRule="auto"/>
        <w:ind w:left="111" w:right="110"/>
        <w:jc w:val="both"/>
        <w:rPr>
          <w:sz w:val="16"/>
          <w:szCs w:val="16"/>
        </w:rPr>
      </w:pPr>
      <w:r w:rsidRPr="00AC74E9">
        <w:rPr>
          <w:sz w:val="16"/>
          <w:szCs w:val="16"/>
        </w:rPr>
        <w:t>Apesar de ser um agonista-antagonista misto, a buprenorfina não confere efeito teto à analgesia.</w:t>
      </w:r>
      <w:r w:rsidRPr="00AC74E9">
        <w:rPr>
          <w:sz w:val="16"/>
          <w:szCs w:val="16"/>
          <w:vertAlign w:val="superscript"/>
        </w:rPr>
        <w:t>11,12,14</w:t>
      </w:r>
      <w:r w:rsidRPr="00AC74E9">
        <w:rPr>
          <w:sz w:val="16"/>
          <w:szCs w:val="16"/>
        </w:rPr>
        <w:t xml:space="preserve"> A ação mista e a alta afinidade da buprenorfina refletem seus efeitos analgésicos potentes e prolongados e sua capacidade de deslocar agonistas opioides completos dos receptores mu.</w:t>
      </w:r>
      <w:r w:rsidRPr="00AC74E9">
        <w:rPr>
          <w:sz w:val="16"/>
          <w:szCs w:val="16"/>
          <w:vertAlign w:val="superscript"/>
        </w:rPr>
        <w:t>14</w:t>
      </w:r>
      <w:r w:rsidRPr="00AC74E9">
        <w:rPr>
          <w:sz w:val="16"/>
          <w:szCs w:val="16"/>
        </w:rPr>
        <w:t xml:space="preserve"> O antagonismo kappa pode ser responsável pela diminuição dos sintomas de abstinência, sedação e potencial de abuso da buprenorfina.</w:t>
      </w:r>
      <w:r w:rsidRPr="00AC74E9">
        <w:rPr>
          <w:sz w:val="16"/>
          <w:szCs w:val="16"/>
          <w:vertAlign w:val="superscript"/>
        </w:rPr>
        <w:t>4,11</w:t>
      </w:r>
      <w:r w:rsidRPr="00AC74E9">
        <w:rPr>
          <w:sz w:val="16"/>
          <w:szCs w:val="16"/>
        </w:rPr>
        <w:t xml:space="preserve"> O significado do antagonismo delta/agonismo da noiciceptina não está totalmente elucidado.</w:t>
      </w:r>
      <w:r w:rsidRPr="00AC74E9">
        <w:rPr>
          <w:sz w:val="16"/>
          <w:szCs w:val="16"/>
          <w:vertAlign w:val="superscript"/>
        </w:rPr>
        <w:t>11</w:t>
      </w:r>
    </w:p>
    <w:p w14:paraId="54E6DE91" w14:textId="77777777" w:rsidR="00CE60AD" w:rsidRPr="00D82498" w:rsidRDefault="00CE60AD">
      <w:pPr>
        <w:pStyle w:val="Corpodetexto"/>
        <w:spacing w:before="6"/>
        <w:rPr>
          <w:szCs w:val="18"/>
        </w:rPr>
      </w:pPr>
    </w:p>
    <w:p w14:paraId="37F5362B" w14:textId="77777777" w:rsidR="00CE60AD" w:rsidRPr="00F02ED9" w:rsidRDefault="00DD6B63">
      <w:pPr>
        <w:pStyle w:val="P68B1DB1-Heading310"/>
      </w:pPr>
      <w:r w:rsidRPr="00F02ED9">
        <w:t>Sistema Respiratório</w:t>
      </w:r>
    </w:p>
    <w:p w14:paraId="552BF320" w14:textId="77777777" w:rsidR="00CE60AD" w:rsidRPr="00AC74E9" w:rsidRDefault="00DD6B63">
      <w:pPr>
        <w:pStyle w:val="P68B1DB1-BodyText3"/>
        <w:spacing w:before="139" w:line="261" w:lineRule="auto"/>
        <w:ind w:left="111" w:right="111"/>
        <w:jc w:val="both"/>
        <w:rPr>
          <w:sz w:val="16"/>
          <w:szCs w:val="16"/>
        </w:rPr>
      </w:pPr>
      <w:r w:rsidRPr="00AC74E9">
        <w:rPr>
          <w:rFonts w:hAnsi="Times New Roman"/>
          <w:sz w:val="16"/>
          <w:szCs w:val="16"/>
        </w:rPr>
        <w:t xml:space="preserve">Acreditava-se anteriormente que a buprenorfina exibia um </w:t>
      </w:r>
      <w:r w:rsidRPr="00AC74E9">
        <w:rPr>
          <w:rFonts w:hAnsi="Times New Roman"/>
          <w:sz w:val="16"/>
          <w:szCs w:val="16"/>
        </w:rPr>
        <w:t>“</w:t>
      </w:r>
      <w:r w:rsidRPr="00AC74E9">
        <w:rPr>
          <w:rFonts w:hAnsi="Times New Roman"/>
          <w:sz w:val="16"/>
          <w:szCs w:val="16"/>
        </w:rPr>
        <w:t>efeito teto</w:t>
      </w:r>
      <w:r w:rsidRPr="00AC74E9">
        <w:rPr>
          <w:rFonts w:ascii="Times New Roman" w:hAnsi="Times New Roman"/>
          <w:sz w:val="16"/>
          <w:szCs w:val="16"/>
        </w:rPr>
        <w:t xml:space="preserve">” </w:t>
      </w:r>
      <w:r w:rsidRPr="00AC74E9">
        <w:rPr>
          <w:sz w:val="16"/>
          <w:szCs w:val="16"/>
        </w:rPr>
        <w:t>na depressão respiratória com doses crescentes.</w:t>
      </w:r>
      <w:r w:rsidRPr="00AC74E9">
        <w:rPr>
          <w:sz w:val="16"/>
          <w:szCs w:val="16"/>
          <w:vertAlign w:val="superscript"/>
        </w:rPr>
        <w:t>11,12,15</w:t>
      </w:r>
      <w:r w:rsidRPr="00AC74E9">
        <w:rPr>
          <w:sz w:val="16"/>
          <w:szCs w:val="16"/>
        </w:rPr>
        <w:t xml:space="preserve"> No entanto, uma revisão sistemática recente não encontrou diferença significativa na depressão respiratória entre buprenorfina e morfina.</w:t>
      </w:r>
      <w:r w:rsidRPr="00AC74E9">
        <w:rPr>
          <w:sz w:val="16"/>
          <w:szCs w:val="16"/>
          <w:vertAlign w:val="superscript"/>
        </w:rPr>
        <w:t>15</w:t>
      </w:r>
      <w:r w:rsidRPr="00AC74E9">
        <w:rPr>
          <w:sz w:val="16"/>
          <w:szCs w:val="16"/>
        </w:rPr>
        <w:t xml:space="preserve"> Portanto, o potencial de efeitos adversos significativos na função respiratória deve ser monitorado de perto.</w:t>
      </w:r>
    </w:p>
    <w:p w14:paraId="121AF4DC" w14:textId="77777777" w:rsidR="00CE60AD" w:rsidRPr="00D82498" w:rsidRDefault="00CE60AD">
      <w:pPr>
        <w:pStyle w:val="Corpodetexto"/>
        <w:spacing w:before="5"/>
        <w:rPr>
          <w:szCs w:val="18"/>
        </w:rPr>
      </w:pPr>
    </w:p>
    <w:p w14:paraId="2F30546B" w14:textId="77777777" w:rsidR="00CE60AD" w:rsidRPr="00F02ED9" w:rsidRDefault="00DD6B63">
      <w:pPr>
        <w:pStyle w:val="P68B1DB1-Heading310"/>
        <w:spacing w:before="1"/>
      </w:pPr>
      <w:r w:rsidRPr="00F02ED9">
        <w:t>Renal</w:t>
      </w:r>
    </w:p>
    <w:p w14:paraId="6C23650F" w14:textId="77777777" w:rsidR="00CE60AD" w:rsidRPr="00AC74E9" w:rsidRDefault="00DD6B63">
      <w:pPr>
        <w:pStyle w:val="P68B1DB1-BodyText3"/>
        <w:spacing w:before="140" w:line="264" w:lineRule="auto"/>
        <w:ind w:left="111" w:right="110"/>
        <w:jc w:val="both"/>
        <w:rPr>
          <w:sz w:val="16"/>
          <w:szCs w:val="16"/>
        </w:rPr>
      </w:pPr>
      <w:r w:rsidRPr="00AC74E9">
        <w:rPr>
          <w:sz w:val="16"/>
          <w:szCs w:val="16"/>
        </w:rPr>
        <w:t>Os níveis de buprenorfina não parecem se acumular em pacientes com insuficiência renal e podem ser usados de preferência a opioides com metabólitos ativos (por exemplo, morfina), que podem se acumular e aumentar o risco de toxicidade.</w:t>
      </w:r>
      <w:r w:rsidRPr="00AC74E9">
        <w:rPr>
          <w:sz w:val="16"/>
          <w:szCs w:val="16"/>
          <w:vertAlign w:val="superscript"/>
        </w:rPr>
        <w:t>4,15</w:t>
      </w:r>
      <w:r w:rsidRPr="00AC74E9">
        <w:rPr>
          <w:sz w:val="16"/>
          <w:szCs w:val="16"/>
        </w:rPr>
        <w:t xml:space="preserve"> A buprenorfina não pode ser dialisada.</w:t>
      </w:r>
    </w:p>
    <w:p w14:paraId="24E8E8A3" w14:textId="77777777" w:rsidR="00CE60AD" w:rsidRPr="00D82498" w:rsidRDefault="00CE60AD">
      <w:pPr>
        <w:pStyle w:val="Corpodetexto"/>
        <w:spacing w:before="10"/>
        <w:rPr>
          <w:szCs w:val="18"/>
        </w:rPr>
      </w:pPr>
    </w:p>
    <w:p w14:paraId="1631762E" w14:textId="77777777" w:rsidR="00CE60AD" w:rsidRPr="00F02ED9" w:rsidRDefault="00DD6B63">
      <w:pPr>
        <w:pStyle w:val="P68B1DB1-Heading310"/>
      </w:pPr>
      <w:r w:rsidRPr="00F02ED9">
        <w:t>Outros efeitos</w:t>
      </w:r>
    </w:p>
    <w:p w14:paraId="028F88B3" w14:textId="77777777" w:rsidR="00CE60AD" w:rsidRPr="00AC74E9" w:rsidRDefault="00DD6B63">
      <w:pPr>
        <w:pStyle w:val="P68B1DB1-BodyText3"/>
        <w:spacing w:before="141"/>
        <w:ind w:left="112"/>
        <w:rPr>
          <w:sz w:val="16"/>
          <w:szCs w:val="16"/>
        </w:rPr>
      </w:pPr>
      <w:r w:rsidRPr="00AC74E9">
        <w:rPr>
          <w:sz w:val="16"/>
          <w:szCs w:val="16"/>
        </w:rPr>
        <w:t xml:space="preserve">Manifestações cutâneas como dermatite de contato podem ocorrer com a formulação </w:t>
      </w:r>
      <w:r w:rsidRPr="00AC74E9">
        <w:rPr>
          <w:sz w:val="16"/>
          <w:szCs w:val="16"/>
        </w:rPr>
        <w:t>transdérmica.</w:t>
      </w:r>
      <w:r w:rsidRPr="00AC74E9">
        <w:rPr>
          <w:sz w:val="16"/>
          <w:szCs w:val="16"/>
          <w:vertAlign w:val="superscript"/>
        </w:rPr>
        <w:t>11</w:t>
      </w:r>
    </w:p>
    <w:p w14:paraId="577BE12A" w14:textId="77777777" w:rsidR="00CE60AD" w:rsidRPr="00D82498" w:rsidRDefault="00CE60AD">
      <w:pPr>
        <w:pStyle w:val="Corpodetexto"/>
        <w:rPr>
          <w:szCs w:val="18"/>
        </w:rPr>
      </w:pPr>
    </w:p>
    <w:p w14:paraId="4679F38F" w14:textId="77777777" w:rsidR="00CE60AD" w:rsidRPr="00F02ED9" w:rsidRDefault="00DD6B63">
      <w:pPr>
        <w:pStyle w:val="P68B1DB1-Heading29"/>
        <w:rPr>
          <w:szCs w:val="24"/>
        </w:rPr>
      </w:pPr>
      <w:r w:rsidRPr="00F02ED9">
        <w:rPr>
          <w:szCs w:val="24"/>
        </w:rPr>
        <w:t>Aplicação Clínica e Evidências</w:t>
      </w:r>
    </w:p>
    <w:p w14:paraId="4F8183A0" w14:textId="77777777" w:rsidR="00CE60AD" w:rsidRPr="00F02ED9" w:rsidRDefault="00DD6B63">
      <w:pPr>
        <w:pStyle w:val="P68B1DB1-Heading310"/>
        <w:spacing w:before="136"/>
      </w:pPr>
      <w:r w:rsidRPr="00F02ED9">
        <w:t>Dosagem Clínica</w:t>
      </w:r>
    </w:p>
    <w:p w14:paraId="36A36053" w14:textId="77777777" w:rsidR="00CE60AD" w:rsidRPr="00AC74E9" w:rsidRDefault="00DD6B63">
      <w:pPr>
        <w:pStyle w:val="P68B1DB1-BodyText3"/>
        <w:spacing w:before="139"/>
        <w:ind w:left="112"/>
        <w:rPr>
          <w:sz w:val="16"/>
          <w:szCs w:val="16"/>
        </w:rPr>
      </w:pPr>
      <w:r w:rsidRPr="00AC74E9">
        <w:rPr>
          <w:sz w:val="16"/>
          <w:szCs w:val="16"/>
        </w:rPr>
        <w:t>A buprenorfina é comumente usada no pós-operatório no cenário agudo.</w:t>
      </w:r>
    </w:p>
    <w:p w14:paraId="34B329C5" w14:textId="77777777" w:rsidR="00CE60AD" w:rsidRPr="00AC74E9" w:rsidRDefault="00DD6B63">
      <w:pPr>
        <w:pStyle w:val="P68B1DB1-BodyText3"/>
        <w:spacing w:before="143" w:line="261" w:lineRule="auto"/>
        <w:ind w:left="111" w:right="109"/>
        <w:jc w:val="both"/>
        <w:rPr>
          <w:sz w:val="16"/>
          <w:szCs w:val="16"/>
        </w:rPr>
      </w:pPr>
      <w:r w:rsidRPr="00AC74E9">
        <w:rPr>
          <w:sz w:val="16"/>
          <w:szCs w:val="16"/>
        </w:rPr>
        <w:t xml:space="preserve">A buprenorfina sublingual é administrada 200 a 400 </w:t>
      </w:r>
      <w:r w:rsidRPr="00AC74E9">
        <w:rPr>
          <w:rFonts w:ascii="Times New Roman" w:hAnsi="Times New Roman"/>
          <w:sz w:val="16"/>
          <w:szCs w:val="16"/>
        </w:rPr>
        <w:t>lga</w:t>
      </w:r>
      <w:r w:rsidRPr="00AC74E9">
        <w:rPr>
          <w:sz w:val="16"/>
          <w:szCs w:val="16"/>
        </w:rPr>
        <w:t xml:space="preserve"> cada 6 horas (equivalente a 8–16 mg de morfina oral; ver Tabela 2) até um máximo de 2400 </w:t>
      </w:r>
      <w:r w:rsidRPr="00AC74E9">
        <w:rPr>
          <w:rFonts w:ascii="Times New Roman" w:hAnsi="Times New Roman"/>
          <w:sz w:val="16"/>
          <w:szCs w:val="16"/>
        </w:rPr>
        <w:t>lg</w:t>
      </w:r>
      <w:r w:rsidRPr="00AC74E9">
        <w:rPr>
          <w:sz w:val="16"/>
          <w:szCs w:val="16"/>
        </w:rPr>
        <w:t>/d. A buprenorfina parenteral é mais frequentemente iniciada no pós-operatório como bolus de resgate ou em um sistema de entrega controlado pelo paciente (analgesia controlada pelo paciente). O atual regime de analgesia controlada pelo paciente na instituição do autor inclui bolus de 30</w:t>
      </w:r>
      <w:r w:rsidRPr="00AC74E9">
        <w:rPr>
          <w:rFonts w:ascii="Times New Roman" w:hAnsi="Times New Roman"/>
          <w:sz w:val="16"/>
          <w:szCs w:val="16"/>
        </w:rPr>
        <w:t>l</w:t>
      </w:r>
      <w:r w:rsidRPr="00AC74E9">
        <w:rPr>
          <w:sz w:val="16"/>
          <w:szCs w:val="16"/>
        </w:rPr>
        <w:t>g com bloqueio de 10 minutos.</w:t>
      </w:r>
    </w:p>
    <w:p w14:paraId="58562755" w14:textId="77777777" w:rsidR="00CE60AD" w:rsidRPr="00AC74E9" w:rsidRDefault="00DD6B63">
      <w:pPr>
        <w:pStyle w:val="P68B1DB1-BodyText3"/>
        <w:spacing w:before="125" w:line="261" w:lineRule="auto"/>
        <w:ind w:left="111" w:right="110"/>
        <w:jc w:val="both"/>
        <w:rPr>
          <w:sz w:val="16"/>
          <w:szCs w:val="16"/>
        </w:rPr>
      </w:pPr>
      <w:r w:rsidRPr="00AC74E9">
        <w:rPr>
          <w:sz w:val="16"/>
          <w:szCs w:val="16"/>
        </w:rPr>
        <w:t>Os adesivos transdérmicos são uma modalidade alternativa conveniente para o tratamento da dor pós-operatória prolongada esperada, mas devem ser instituídos e gerenciados apenas sob supervisão de um serviço especializado em dor. Eles não devem ser considerados no tratamento da dor aguda. A buprenorfina transdérmica pode levar até 24 a 48 horas para atingir o estado estacionário,</w:t>
      </w:r>
      <w:r w:rsidRPr="00AC74E9">
        <w:rPr>
          <w:sz w:val="16"/>
          <w:szCs w:val="16"/>
          <w:vertAlign w:val="superscript"/>
        </w:rPr>
        <w:t xml:space="preserve"> 13</w:t>
      </w:r>
      <w:r w:rsidRPr="00AC74E9">
        <w:rPr>
          <w:sz w:val="16"/>
          <w:szCs w:val="16"/>
        </w:rPr>
        <w:t xml:space="preserve"> durante o qual pode ser necessária analgesia progressiva conforme necessário, muitas vezes com buprenorfina sublingual. Se o adesivo precisar ser convertido em opioides orais após 7 dias, a medicação deve ser iniciada 24 horas após a remoção do adesivo.</w:t>
      </w:r>
      <w:r w:rsidRPr="00AC74E9">
        <w:rPr>
          <w:sz w:val="16"/>
          <w:szCs w:val="16"/>
          <w:vertAlign w:val="superscript"/>
        </w:rPr>
        <w:t>13</w:t>
      </w:r>
    </w:p>
    <w:p w14:paraId="7C2FCDA1" w14:textId="77777777" w:rsidR="00CE60AD" w:rsidRPr="00D82498" w:rsidRDefault="00CE60AD">
      <w:pPr>
        <w:pStyle w:val="Corpodetexto"/>
        <w:spacing w:before="8"/>
        <w:rPr>
          <w:szCs w:val="18"/>
        </w:rPr>
      </w:pPr>
    </w:p>
    <w:p w14:paraId="50F08CF4" w14:textId="77777777" w:rsidR="00CE60AD" w:rsidRPr="00F02ED9" w:rsidRDefault="00DD6B63">
      <w:pPr>
        <w:pStyle w:val="P68B1DB1-Heading310"/>
      </w:pPr>
      <w:r w:rsidRPr="00F02ED9">
        <w:t>Vantagens</w:t>
      </w:r>
    </w:p>
    <w:p w14:paraId="375C4309" w14:textId="77777777" w:rsidR="00CE60AD" w:rsidRPr="00AC74E9" w:rsidRDefault="00DD6B63">
      <w:pPr>
        <w:pStyle w:val="P68B1DB1-BodyText3"/>
        <w:spacing w:before="139" w:line="261" w:lineRule="auto"/>
        <w:ind w:left="111" w:right="109"/>
        <w:jc w:val="both"/>
        <w:rPr>
          <w:sz w:val="16"/>
          <w:szCs w:val="16"/>
        </w:rPr>
      </w:pPr>
      <w:r w:rsidRPr="00AC74E9">
        <w:rPr>
          <w:sz w:val="16"/>
          <w:szCs w:val="16"/>
        </w:rPr>
        <w:t xml:space="preserve">A buprenorfina é um </w:t>
      </w:r>
      <w:r w:rsidRPr="00AC74E9">
        <w:rPr>
          <w:sz w:val="16"/>
          <w:szCs w:val="16"/>
        </w:rPr>
        <w:t>potente agente analgésico com efeitos prolongados após uma grande cirurgia. É tão eficaz quanto a morfina no tratamento da dor aguda após cirurgia cardíaca, abdominal, ginecológica e ortopédica. Os sintomas de abstinência após a interrupção da terapia são geralmente mais leves e a disforia e os efeitos psicomiméticos são limitados.</w:t>
      </w:r>
      <w:r w:rsidRPr="00AC74E9">
        <w:rPr>
          <w:sz w:val="16"/>
          <w:szCs w:val="16"/>
          <w:vertAlign w:val="superscript"/>
        </w:rPr>
        <w:t>11,12</w:t>
      </w:r>
      <w:r w:rsidRPr="00AC74E9">
        <w:rPr>
          <w:sz w:val="16"/>
          <w:szCs w:val="16"/>
        </w:rPr>
        <w:t xml:space="preserve"> Isso pode reduzir o potencial de abuso. Há evidências limitadas sugerindo que é um anti-hiperalgésico</w:t>
      </w:r>
      <w:r w:rsidRPr="00AC74E9">
        <w:rPr>
          <w:sz w:val="16"/>
          <w:szCs w:val="16"/>
          <w:vertAlign w:val="superscript"/>
        </w:rPr>
        <w:t>11,12,15</w:t>
      </w:r>
      <w:r w:rsidRPr="00AC74E9">
        <w:rPr>
          <w:sz w:val="16"/>
          <w:szCs w:val="16"/>
        </w:rPr>
        <w:t xml:space="preserve"> e pode ser benéfico para neutralizar as respostas intensificada</w:t>
      </w:r>
      <w:r w:rsidRPr="00AC74E9">
        <w:rPr>
          <w:sz w:val="16"/>
          <w:szCs w:val="16"/>
        </w:rPr>
        <w:t>s à dor, particularmente durante o uso de opioides ou hiperalgesia induzida por opioides. A buprenorfina é segura em pacientes com doença renal, sem alteração da dosagem necessária.</w:t>
      </w:r>
    </w:p>
    <w:p w14:paraId="6984744D" w14:textId="7A21C900" w:rsidR="00CE60AD" w:rsidRPr="00AC74E9" w:rsidRDefault="00DD6B63">
      <w:pPr>
        <w:pStyle w:val="P68B1DB1-BodyText3"/>
        <w:spacing w:before="129" w:line="261" w:lineRule="auto"/>
        <w:ind w:left="111" w:right="109"/>
        <w:jc w:val="both"/>
        <w:rPr>
          <w:sz w:val="16"/>
          <w:szCs w:val="16"/>
        </w:rPr>
      </w:pPr>
      <w:r w:rsidRPr="00AC74E9">
        <w:rPr>
          <w:sz w:val="16"/>
          <w:szCs w:val="16"/>
        </w:rPr>
        <w:t xml:space="preserve">Preparações parenterais, sublinguais e transdérmicas permitem o tratamento de pacientes que permanecem </w:t>
      </w:r>
      <w:r w:rsidR="00514CBD">
        <w:rPr>
          <w:sz w:val="16"/>
          <w:szCs w:val="16"/>
        </w:rPr>
        <w:t>com restrição a dieta</w:t>
      </w:r>
      <w:r w:rsidRPr="00AC74E9">
        <w:rPr>
          <w:sz w:val="16"/>
          <w:szCs w:val="16"/>
        </w:rPr>
        <w:t xml:space="preserve"> oral no pós-operatório, como após cirurgia de cabeça e pescoço ou intestino ou para aqueles propensos a náuseas e vômitos.</w:t>
      </w:r>
      <w:r w:rsidRPr="00AC74E9">
        <w:rPr>
          <w:sz w:val="16"/>
          <w:szCs w:val="16"/>
          <w:vertAlign w:val="superscript"/>
        </w:rPr>
        <w:t>11</w:t>
      </w:r>
      <w:r w:rsidRPr="00AC74E9">
        <w:rPr>
          <w:sz w:val="16"/>
          <w:szCs w:val="16"/>
        </w:rPr>
        <w:t xml:space="preserve"> As preparações transdérmicas podem tratar a dor intensa que se espera que dure vários dias.</w:t>
      </w:r>
      <w:r w:rsidRPr="00AC74E9">
        <w:rPr>
          <w:sz w:val="16"/>
          <w:szCs w:val="16"/>
          <w:vertAlign w:val="superscript"/>
        </w:rPr>
        <w:t>12</w:t>
      </w:r>
      <w:r w:rsidRPr="00AC74E9">
        <w:rPr>
          <w:rFonts w:hAnsi="Times New Roman"/>
          <w:sz w:val="16"/>
          <w:szCs w:val="16"/>
        </w:rPr>
        <w:t xml:space="preserve"> A necessidade reduzida de dosagem frequente </w:t>
      </w:r>
      <w:r w:rsidRPr="00AC74E9">
        <w:rPr>
          <w:rFonts w:hAnsi="Times New Roman"/>
          <w:sz w:val="16"/>
          <w:szCs w:val="16"/>
        </w:rPr>
        <w:t>é</w:t>
      </w:r>
      <w:r w:rsidRPr="00AC74E9">
        <w:rPr>
          <w:rFonts w:hAnsi="Times New Roman"/>
          <w:sz w:val="16"/>
          <w:szCs w:val="16"/>
        </w:rPr>
        <w:t xml:space="preserve"> conveniente n</w:t>
      </w:r>
      <w:r w:rsidRPr="00AC74E9">
        <w:rPr>
          <w:rFonts w:hAnsi="Times New Roman"/>
          <w:sz w:val="16"/>
          <w:szCs w:val="16"/>
        </w:rPr>
        <w:t>ã</w:t>
      </w:r>
      <w:r w:rsidRPr="00AC74E9">
        <w:rPr>
          <w:rFonts w:hAnsi="Times New Roman"/>
          <w:sz w:val="16"/>
          <w:szCs w:val="16"/>
        </w:rPr>
        <w:t>o apenas para o cl</w:t>
      </w:r>
      <w:r w:rsidRPr="00AC74E9">
        <w:rPr>
          <w:rFonts w:hAnsi="Times New Roman"/>
          <w:sz w:val="16"/>
          <w:szCs w:val="16"/>
        </w:rPr>
        <w:t>í</w:t>
      </w:r>
      <w:r w:rsidRPr="00AC74E9">
        <w:rPr>
          <w:rFonts w:hAnsi="Times New Roman"/>
          <w:sz w:val="16"/>
          <w:szCs w:val="16"/>
        </w:rPr>
        <w:t>nico, mas tamb</w:t>
      </w:r>
      <w:r w:rsidRPr="00AC74E9">
        <w:rPr>
          <w:rFonts w:hAnsi="Times New Roman"/>
          <w:sz w:val="16"/>
          <w:szCs w:val="16"/>
        </w:rPr>
        <w:t>é</w:t>
      </w:r>
      <w:r w:rsidRPr="00AC74E9">
        <w:rPr>
          <w:rFonts w:hAnsi="Times New Roman"/>
          <w:sz w:val="16"/>
          <w:szCs w:val="16"/>
        </w:rPr>
        <w:t>m para o paciente que diminuiu a "carga de p</w:t>
      </w:r>
      <w:r w:rsidRPr="00AC74E9">
        <w:rPr>
          <w:rFonts w:hAnsi="Times New Roman"/>
          <w:sz w:val="16"/>
          <w:szCs w:val="16"/>
        </w:rPr>
        <w:t>í</w:t>
      </w:r>
      <w:r w:rsidRPr="00AC74E9">
        <w:rPr>
          <w:rFonts w:hAnsi="Times New Roman"/>
          <w:sz w:val="16"/>
          <w:szCs w:val="16"/>
        </w:rPr>
        <w:t>lulas</w:t>
      </w:r>
      <w:r w:rsidRPr="00AC74E9">
        <w:rPr>
          <w:rFonts w:ascii="Times New Roman" w:hAnsi="Times New Roman"/>
          <w:sz w:val="16"/>
          <w:szCs w:val="16"/>
        </w:rPr>
        <w:t>"</w:t>
      </w:r>
      <w:r w:rsidRPr="00AC74E9">
        <w:rPr>
          <w:sz w:val="16"/>
          <w:szCs w:val="16"/>
        </w:rPr>
        <w:t>, o que pode aumentar a adesão.</w:t>
      </w:r>
    </w:p>
    <w:p w14:paraId="196EAB7B" w14:textId="77777777" w:rsidR="00CE60AD" w:rsidRPr="00D82498" w:rsidRDefault="00CE60AD">
      <w:pPr>
        <w:pStyle w:val="Corpodetexto"/>
        <w:spacing w:before="8"/>
        <w:rPr>
          <w:szCs w:val="18"/>
        </w:rPr>
      </w:pPr>
    </w:p>
    <w:p w14:paraId="45B54AAD" w14:textId="77777777" w:rsidR="00CE60AD" w:rsidRPr="00F02ED9" w:rsidRDefault="00DD6B63">
      <w:pPr>
        <w:pStyle w:val="P68B1DB1-Heading29"/>
        <w:rPr>
          <w:szCs w:val="24"/>
        </w:rPr>
      </w:pPr>
      <w:r w:rsidRPr="00F02ED9">
        <w:rPr>
          <w:szCs w:val="24"/>
        </w:rPr>
        <w:t>Cuidado e Limitações</w:t>
      </w:r>
    </w:p>
    <w:p w14:paraId="56FEA324" w14:textId="77777777" w:rsidR="00CE60AD" w:rsidRPr="00AC74E9" w:rsidRDefault="00DD6B63">
      <w:pPr>
        <w:pStyle w:val="P68B1DB1-BodyText3"/>
        <w:spacing w:before="134" w:line="261" w:lineRule="auto"/>
        <w:ind w:left="111" w:right="104"/>
        <w:jc w:val="both"/>
        <w:rPr>
          <w:sz w:val="16"/>
          <w:szCs w:val="16"/>
        </w:rPr>
      </w:pPr>
      <w:r w:rsidRPr="00AC74E9">
        <w:rPr>
          <w:sz w:val="16"/>
          <w:szCs w:val="16"/>
        </w:rPr>
        <w:t>A depressão respiratória é possível com a buprenorfina, e os pacientes de alto risco/sintomáticos justificam a admissão em um ambiente de HDU/ UTI que ofereça monitoramento intensivo da frequência respiratória e do nível de sedação.</w:t>
      </w:r>
      <w:r w:rsidRPr="00AC74E9">
        <w:rPr>
          <w:sz w:val="16"/>
          <w:szCs w:val="16"/>
          <w:vertAlign w:val="superscript"/>
        </w:rPr>
        <w:t>14</w:t>
      </w:r>
      <w:r w:rsidRPr="00AC74E9">
        <w:rPr>
          <w:sz w:val="16"/>
          <w:szCs w:val="16"/>
        </w:rPr>
        <w:t xml:space="preserve"> A buprenorfina deve ser usada com extrema cautela em conjunto com benzodiazepínicos, pois tem havido vários óbitos relatados na literatura.</w:t>
      </w:r>
      <w:r w:rsidRPr="00AC74E9">
        <w:rPr>
          <w:sz w:val="16"/>
          <w:szCs w:val="16"/>
          <w:vertAlign w:val="superscript"/>
        </w:rPr>
        <w:t>11,14,15</w:t>
      </w:r>
      <w:r w:rsidRPr="00AC74E9">
        <w:rPr>
          <w:sz w:val="16"/>
          <w:szCs w:val="16"/>
        </w:rPr>
        <w:t xml:space="preserve"> Os indutores e inibidores do citocromo p450 podem potenciar os efeitos da buprenorfina no sistema nervoso central (ver Tabela 1).</w:t>
      </w:r>
    </w:p>
    <w:p w14:paraId="01C5832F" w14:textId="77777777" w:rsidR="00CE60AD" w:rsidRPr="00D82498" w:rsidRDefault="00CE60AD">
      <w:pPr>
        <w:spacing w:line="261" w:lineRule="auto"/>
        <w:jc w:val="both"/>
        <w:rPr>
          <w:sz w:val="18"/>
          <w:szCs w:val="18"/>
        </w:rPr>
        <w:sectPr w:rsidR="00CE60AD" w:rsidRPr="00D82498">
          <w:pgSz w:w="12240" w:h="15840"/>
          <w:pgMar w:top="960" w:right="1040" w:bottom="1160" w:left="1040" w:header="0" w:footer="962" w:gutter="0"/>
          <w:cols w:space="720"/>
        </w:sectPr>
      </w:pPr>
    </w:p>
    <w:p w14:paraId="11465328" w14:textId="77777777" w:rsidR="00CE60AD" w:rsidRPr="00AC74E9" w:rsidRDefault="00DD6B63">
      <w:pPr>
        <w:pStyle w:val="P68B1DB1-BodyText3"/>
        <w:spacing w:before="53" w:line="254" w:lineRule="auto"/>
        <w:ind w:left="112" w:right="110"/>
        <w:jc w:val="both"/>
        <w:rPr>
          <w:sz w:val="16"/>
          <w:szCs w:val="16"/>
        </w:rPr>
      </w:pPr>
      <w:r w:rsidRPr="00AC74E9">
        <w:rPr>
          <w:sz w:val="16"/>
          <w:szCs w:val="16"/>
        </w:rPr>
        <w:lastRenderedPageBreak/>
        <w:t>O uso de doses únicas de naloxona pode ter um efeito limitado na depressão respiratória induzida por buprenorfina devido à longa ação da buprenorfina, e uma infusão de naloxona pode ser necessária. As suspeitas de sobredosagem devem ser cuidadosamente monitorizadas e os médicos devem ter um limiar baixo para ventilação mecânica.</w:t>
      </w:r>
    </w:p>
    <w:p w14:paraId="51F0D809" w14:textId="0F773C3E" w:rsidR="00CE60AD" w:rsidRPr="00AC74E9" w:rsidRDefault="00DD6B63">
      <w:pPr>
        <w:pStyle w:val="P68B1DB1-BodyText3"/>
        <w:spacing w:before="119" w:line="254" w:lineRule="auto"/>
        <w:ind w:left="112" w:right="110"/>
        <w:jc w:val="both"/>
        <w:rPr>
          <w:sz w:val="16"/>
          <w:szCs w:val="16"/>
        </w:rPr>
      </w:pPr>
      <w:r w:rsidRPr="00AC74E9">
        <w:rPr>
          <w:sz w:val="16"/>
          <w:szCs w:val="16"/>
        </w:rPr>
        <w:t xml:space="preserve">Os pacientes que se apresentam para cirurgia </w:t>
      </w:r>
      <w:r w:rsidR="00D92E00">
        <w:rPr>
          <w:sz w:val="16"/>
          <w:szCs w:val="16"/>
        </w:rPr>
        <w:t xml:space="preserve">já em uso de </w:t>
      </w:r>
      <w:r w:rsidRPr="00AC74E9">
        <w:rPr>
          <w:sz w:val="16"/>
          <w:szCs w:val="16"/>
        </w:rPr>
        <w:t>opioides</w:t>
      </w:r>
      <w:r w:rsidRPr="00AC74E9">
        <w:rPr>
          <w:sz w:val="16"/>
          <w:szCs w:val="16"/>
        </w:rPr>
        <w:t xml:space="preserve"> podem apresentar dor de abstinência ou refratária se forem </w:t>
      </w:r>
      <w:r w:rsidR="00D92E00">
        <w:rPr>
          <w:sz w:val="16"/>
          <w:szCs w:val="16"/>
        </w:rPr>
        <w:t>tratados com</w:t>
      </w:r>
      <w:r w:rsidRPr="00AC74E9">
        <w:rPr>
          <w:sz w:val="16"/>
          <w:szCs w:val="16"/>
        </w:rPr>
        <w:t xml:space="preserve"> buprenorfina devido a seus efeitos agonistas parciais de mu. Esta coorte de pacientes requer planejamento especializado, e o escopo desta discussão é abordado em outro artigo da ATOTW.</w:t>
      </w:r>
      <w:r w:rsidRPr="00AC74E9">
        <w:rPr>
          <w:sz w:val="16"/>
          <w:szCs w:val="16"/>
          <w:vertAlign w:val="superscript"/>
        </w:rPr>
        <w:t>16</w:t>
      </w:r>
    </w:p>
    <w:p w14:paraId="1F9CAC16" w14:textId="77777777" w:rsidR="00CE60AD" w:rsidRPr="00D82498" w:rsidRDefault="00CE60AD">
      <w:pPr>
        <w:pStyle w:val="Corpodetexto"/>
        <w:rPr>
          <w:szCs w:val="18"/>
        </w:rPr>
      </w:pPr>
    </w:p>
    <w:p w14:paraId="58828129" w14:textId="77777777" w:rsidR="00CE60AD" w:rsidRPr="00AC74E9" w:rsidRDefault="00DD6B63">
      <w:pPr>
        <w:pStyle w:val="P68B1DB1-Heading16"/>
        <w:rPr>
          <w:szCs w:val="24"/>
        </w:rPr>
      </w:pPr>
      <w:r w:rsidRPr="00AC74E9">
        <w:rPr>
          <w:szCs w:val="24"/>
        </w:rPr>
        <w:t>CONCLUSÃO</w:t>
      </w:r>
    </w:p>
    <w:p w14:paraId="21A1F270" w14:textId="77777777" w:rsidR="00CE60AD" w:rsidRPr="00AC74E9" w:rsidRDefault="00DD6B63">
      <w:pPr>
        <w:pStyle w:val="P68B1DB1-BodyText3"/>
        <w:spacing w:before="119" w:line="254" w:lineRule="auto"/>
        <w:ind w:left="112" w:right="109"/>
        <w:jc w:val="both"/>
        <w:rPr>
          <w:sz w:val="16"/>
          <w:szCs w:val="16"/>
        </w:rPr>
      </w:pPr>
      <w:r w:rsidRPr="00AC74E9">
        <w:rPr>
          <w:sz w:val="16"/>
          <w:szCs w:val="16"/>
        </w:rPr>
        <w:t xml:space="preserve">O uso de opioides no manejo da dor aguda é onipresente, independentemente de complicações e eventos adversos. A metadona e a </w:t>
      </w:r>
      <w:r w:rsidRPr="00AC74E9">
        <w:rPr>
          <w:sz w:val="16"/>
          <w:szCs w:val="16"/>
        </w:rPr>
        <w:t>buprenorfina têm sido empregadas há muito tempo no manejo do transtorno do uso de opioides. No entanto, apesar da hesitação do clínico, ambos os opioides oferecem uma excelente alternativa para o manejo da dor aguda pós-operatória.</w:t>
      </w:r>
    </w:p>
    <w:p w14:paraId="5CDE85C8" w14:textId="77777777" w:rsidR="00CE60AD" w:rsidRPr="00D82498" w:rsidRDefault="00CE60AD">
      <w:pPr>
        <w:pStyle w:val="Corpodetexto"/>
        <w:spacing w:before="2"/>
        <w:rPr>
          <w:szCs w:val="18"/>
        </w:rPr>
      </w:pPr>
    </w:p>
    <w:p w14:paraId="5FBF345A" w14:textId="77777777" w:rsidR="00CE60AD" w:rsidRPr="00AC74E9" w:rsidRDefault="00DD6B63">
      <w:pPr>
        <w:pStyle w:val="P68B1DB1-Heading16"/>
        <w:spacing w:before="1"/>
        <w:rPr>
          <w:szCs w:val="24"/>
        </w:rPr>
      </w:pPr>
      <w:r w:rsidRPr="00AC74E9">
        <w:rPr>
          <w:szCs w:val="24"/>
        </w:rPr>
        <w:t>REFERÊNCIAS</w:t>
      </w:r>
    </w:p>
    <w:p w14:paraId="1D8F7928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before="119"/>
        <w:ind w:right="0"/>
        <w:jc w:val="both"/>
        <w:rPr>
          <w:sz w:val="18"/>
        </w:rPr>
      </w:pPr>
      <w:r w:rsidRPr="00E45610">
        <w:rPr>
          <w:color w:val="231F20"/>
          <w:sz w:val="18"/>
          <w:lang w:val="en-US"/>
        </w:rPr>
        <w:t>Kharasch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ED.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Intraoperative</w:t>
      </w:r>
      <w:r w:rsidRPr="00E45610">
        <w:rPr>
          <w:color w:val="231F20"/>
          <w:spacing w:val="-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methadone: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rediscovery,</w:t>
      </w:r>
      <w:r w:rsidRPr="00E45610">
        <w:rPr>
          <w:color w:val="231F20"/>
          <w:spacing w:val="-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reappraisal,</w:t>
      </w:r>
      <w:r w:rsidRPr="00E45610">
        <w:rPr>
          <w:color w:val="231F20"/>
          <w:spacing w:val="-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and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reinvigoration?</w:t>
      </w:r>
      <w:r w:rsidRPr="00E45610">
        <w:rPr>
          <w:color w:val="231F20"/>
          <w:spacing w:val="-2"/>
          <w:sz w:val="18"/>
          <w:lang w:val="en-US"/>
        </w:rPr>
        <w:t xml:space="preserve"> </w:t>
      </w:r>
      <w:r>
        <w:rPr>
          <w:i/>
          <w:color w:val="231F20"/>
          <w:sz w:val="18"/>
        </w:rPr>
        <w:t>Anesth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Analg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2011;112(1):13-</w:t>
      </w:r>
      <w:r>
        <w:rPr>
          <w:color w:val="231F20"/>
          <w:spacing w:val="-5"/>
          <w:sz w:val="18"/>
        </w:rPr>
        <w:t>16.</w:t>
      </w:r>
    </w:p>
    <w:p w14:paraId="2427A79C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before="12" w:line="254" w:lineRule="auto"/>
        <w:ind w:right="109"/>
        <w:jc w:val="both"/>
        <w:rPr>
          <w:sz w:val="18"/>
        </w:rPr>
      </w:pPr>
      <w:r w:rsidRPr="00E45610">
        <w:rPr>
          <w:color w:val="231F20"/>
          <w:sz w:val="18"/>
          <w:lang w:val="en-US"/>
        </w:rPr>
        <w:t>Murphy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GS,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Szokol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JW.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Intraoperative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methadone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in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surgical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patients: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a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review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of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clinical</w:t>
      </w:r>
      <w:r w:rsidRPr="00E45610">
        <w:rPr>
          <w:color w:val="231F20"/>
          <w:spacing w:val="-4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investigations.</w:t>
      </w:r>
      <w:r w:rsidRPr="00E45610">
        <w:rPr>
          <w:color w:val="231F20"/>
          <w:spacing w:val="-5"/>
          <w:sz w:val="18"/>
          <w:lang w:val="en-US"/>
        </w:rPr>
        <w:t xml:space="preserve"> </w:t>
      </w:r>
      <w:r>
        <w:rPr>
          <w:i/>
          <w:color w:val="231F20"/>
          <w:sz w:val="18"/>
        </w:rPr>
        <w:t>Anesthesiology</w:t>
      </w:r>
      <w:r>
        <w:rPr>
          <w:color w:val="231F20"/>
          <w:sz w:val="18"/>
        </w:rPr>
        <w:t xml:space="preserve">. </w:t>
      </w:r>
      <w:r>
        <w:rPr>
          <w:color w:val="231F20"/>
          <w:spacing w:val="-2"/>
          <w:sz w:val="18"/>
        </w:rPr>
        <w:t>2019;131(3):678-692.</w:t>
      </w:r>
    </w:p>
    <w:p w14:paraId="2055C85E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line="254" w:lineRule="auto"/>
        <w:ind w:right="111"/>
        <w:jc w:val="both"/>
        <w:rPr>
          <w:sz w:val="18"/>
        </w:rPr>
      </w:pPr>
      <w:r w:rsidRPr="00D428F2">
        <w:rPr>
          <w:color w:val="231F20"/>
          <w:sz w:val="18"/>
          <w:lang w:val="en-US"/>
        </w:rPr>
        <w:t>Murphy</w:t>
      </w:r>
      <w:r w:rsidRPr="00D428F2">
        <w:rPr>
          <w:color w:val="231F20"/>
          <w:spacing w:val="-13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GS,</w:t>
      </w:r>
      <w:r w:rsidRPr="00D428F2">
        <w:rPr>
          <w:color w:val="231F20"/>
          <w:spacing w:val="-1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Szokol</w:t>
      </w:r>
      <w:r w:rsidRPr="00D428F2">
        <w:rPr>
          <w:color w:val="231F20"/>
          <w:spacing w:val="-1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JW,</w:t>
      </w:r>
      <w:r w:rsidRPr="00D428F2">
        <w:rPr>
          <w:color w:val="231F20"/>
          <w:spacing w:val="-13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Avram</w:t>
      </w:r>
      <w:r w:rsidRPr="00D428F2">
        <w:rPr>
          <w:color w:val="231F20"/>
          <w:spacing w:val="-11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MJ,</w:t>
      </w:r>
      <w:r w:rsidRPr="00D428F2">
        <w:rPr>
          <w:color w:val="231F20"/>
          <w:spacing w:val="-13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et</w:t>
      </w:r>
      <w:r w:rsidRPr="00D428F2">
        <w:rPr>
          <w:color w:val="231F20"/>
          <w:spacing w:val="-1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al.</w:t>
      </w:r>
      <w:r w:rsidRPr="00D428F2">
        <w:rPr>
          <w:color w:val="231F20"/>
          <w:spacing w:val="-1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Intraoperative</w:t>
      </w:r>
      <w:r w:rsidRPr="00E45610">
        <w:rPr>
          <w:color w:val="231F20"/>
          <w:spacing w:val="-12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methadone</w:t>
      </w:r>
      <w:r w:rsidRPr="00E45610">
        <w:rPr>
          <w:color w:val="231F20"/>
          <w:spacing w:val="-1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for</w:t>
      </w:r>
      <w:r w:rsidRPr="00E45610">
        <w:rPr>
          <w:color w:val="231F20"/>
          <w:spacing w:val="-12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the</w:t>
      </w:r>
      <w:r w:rsidRPr="00E45610">
        <w:rPr>
          <w:color w:val="231F20"/>
          <w:spacing w:val="-12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prevention</w:t>
      </w:r>
      <w:r w:rsidRPr="00E45610">
        <w:rPr>
          <w:color w:val="231F20"/>
          <w:spacing w:val="-1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of</w:t>
      </w:r>
      <w:r w:rsidRPr="00E45610">
        <w:rPr>
          <w:color w:val="231F20"/>
          <w:spacing w:val="-11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postoperative</w:t>
      </w:r>
      <w:r w:rsidRPr="00E45610">
        <w:rPr>
          <w:color w:val="231F20"/>
          <w:spacing w:val="-1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pain:</w:t>
      </w:r>
      <w:r w:rsidRPr="00E45610">
        <w:rPr>
          <w:color w:val="231F20"/>
          <w:spacing w:val="-11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>a</w:t>
      </w:r>
      <w:r w:rsidRPr="00E45610">
        <w:rPr>
          <w:color w:val="231F20"/>
          <w:spacing w:val="-13"/>
          <w:sz w:val="18"/>
          <w:lang w:val="en-US"/>
        </w:rPr>
        <w:t xml:space="preserve"> </w:t>
      </w:r>
      <w:r w:rsidRPr="00E45610">
        <w:rPr>
          <w:color w:val="231F20"/>
          <w:sz w:val="18"/>
          <w:lang w:val="en-US"/>
        </w:rPr>
        <w:t xml:space="preserve">randomized, double-blinded clinical trial in cardiac surgical patients. </w:t>
      </w:r>
      <w:r>
        <w:rPr>
          <w:i/>
          <w:color w:val="231F20"/>
          <w:sz w:val="18"/>
        </w:rPr>
        <w:t>Anesthesiology</w:t>
      </w:r>
      <w:r>
        <w:rPr>
          <w:color w:val="231F20"/>
          <w:sz w:val="18"/>
        </w:rPr>
        <w:t>. 2015;122(5):1112-1122.</w:t>
      </w:r>
    </w:p>
    <w:p w14:paraId="15F47693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line="254" w:lineRule="auto"/>
        <w:jc w:val="both"/>
        <w:rPr>
          <w:sz w:val="18"/>
        </w:rPr>
      </w:pPr>
      <w:r w:rsidRPr="00E45610">
        <w:rPr>
          <w:color w:val="231F20"/>
          <w:sz w:val="18"/>
          <w:lang w:val="en-US"/>
        </w:rPr>
        <w:t xml:space="preserve">Bart G, Walsh SL. Methadone pharmacodynamics and pharmacokinetics. In: Cruciani R, Knotkova H, eds. </w:t>
      </w:r>
      <w:r w:rsidRPr="00E45610">
        <w:rPr>
          <w:i/>
          <w:color w:val="231F20"/>
          <w:sz w:val="18"/>
          <w:lang w:val="en-US"/>
        </w:rPr>
        <w:t>Handbook of Methadone Prescribing and Buprenorphine Therapy</w:t>
      </w:r>
      <w:r w:rsidRPr="00E45610">
        <w:rPr>
          <w:color w:val="231F20"/>
          <w:sz w:val="18"/>
          <w:lang w:val="en-US"/>
        </w:rPr>
        <w:t xml:space="preserve">. </w:t>
      </w:r>
      <w:r>
        <w:rPr>
          <w:color w:val="231F20"/>
          <w:sz w:val="18"/>
        </w:rPr>
        <w:t>1st ed. New York, NY: Springer; 2013:59-72.</w:t>
      </w:r>
    </w:p>
    <w:p w14:paraId="5E759043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line="254" w:lineRule="auto"/>
        <w:jc w:val="both"/>
        <w:rPr>
          <w:sz w:val="18"/>
        </w:rPr>
      </w:pPr>
      <w:r w:rsidRPr="00D428F2">
        <w:rPr>
          <w:color w:val="231F20"/>
          <w:sz w:val="18"/>
          <w:lang w:val="en-US"/>
        </w:rPr>
        <w:t xml:space="preserve">Murphy GS, Szokol JW, Avram MJ, et al. Clinical effectiveness and safety of intraoperative methadone in patients undergoing posterior spinal fusion surgery: a randomized, double-blinded, controlled trial. </w:t>
      </w:r>
      <w:r>
        <w:rPr>
          <w:i/>
          <w:color w:val="231F20"/>
          <w:sz w:val="18"/>
        </w:rPr>
        <w:t>Anesthesiology</w:t>
      </w:r>
      <w:r>
        <w:rPr>
          <w:color w:val="231F20"/>
          <w:sz w:val="18"/>
        </w:rPr>
        <w:t xml:space="preserve">. </w:t>
      </w:r>
      <w:r>
        <w:rPr>
          <w:color w:val="231F20"/>
          <w:spacing w:val="-2"/>
          <w:sz w:val="18"/>
        </w:rPr>
        <w:t>2017;126(5):822-833.</w:t>
      </w:r>
    </w:p>
    <w:p w14:paraId="5F2C3048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line="254" w:lineRule="auto"/>
        <w:jc w:val="both"/>
        <w:rPr>
          <w:sz w:val="18"/>
        </w:rPr>
      </w:pPr>
      <w:r w:rsidRPr="00D428F2">
        <w:rPr>
          <w:color w:val="231F20"/>
          <w:sz w:val="18"/>
          <w:lang w:val="en-US"/>
        </w:rPr>
        <w:t xml:space="preserve">Rajan J, Scott-Warren J. The clinical use of methadone in cancer and chronic pain medicine. </w:t>
      </w:r>
      <w:r>
        <w:rPr>
          <w:i/>
          <w:color w:val="231F20"/>
          <w:sz w:val="18"/>
        </w:rPr>
        <w:t>Br J Anaesth</w:t>
      </w:r>
      <w:r>
        <w:rPr>
          <w:color w:val="231F20"/>
          <w:sz w:val="18"/>
        </w:rPr>
        <w:t xml:space="preserve">. </w:t>
      </w:r>
      <w:r>
        <w:rPr>
          <w:color w:val="231F20"/>
          <w:spacing w:val="-2"/>
          <w:sz w:val="18"/>
        </w:rPr>
        <w:t>2016;16(3):102-106.</w:t>
      </w:r>
    </w:p>
    <w:p w14:paraId="3D45211C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ind w:right="0"/>
        <w:jc w:val="both"/>
        <w:rPr>
          <w:sz w:val="18"/>
        </w:rPr>
      </w:pPr>
      <w:r w:rsidRPr="00D428F2">
        <w:rPr>
          <w:color w:val="231F20"/>
          <w:sz w:val="18"/>
          <w:lang w:val="en-US"/>
        </w:rPr>
        <w:t>Walsh</w:t>
      </w:r>
      <w:r w:rsidRPr="00D428F2">
        <w:rPr>
          <w:color w:val="231F20"/>
          <w:spacing w:val="2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SL,</w:t>
      </w:r>
      <w:r w:rsidRPr="00D428F2">
        <w:rPr>
          <w:color w:val="231F20"/>
          <w:spacing w:val="2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Middleton</w:t>
      </w:r>
      <w:r w:rsidRPr="00D428F2">
        <w:rPr>
          <w:color w:val="231F20"/>
          <w:spacing w:val="2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LS.</w:t>
      </w:r>
      <w:r w:rsidRPr="00D428F2">
        <w:rPr>
          <w:color w:val="231F20"/>
          <w:spacing w:val="2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Buprenorphine</w:t>
      </w:r>
      <w:r w:rsidRPr="00D428F2">
        <w:rPr>
          <w:color w:val="231F20"/>
          <w:spacing w:val="23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pharmacodynamics</w:t>
      </w:r>
      <w:r w:rsidRPr="00D428F2">
        <w:rPr>
          <w:color w:val="231F20"/>
          <w:spacing w:val="2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and</w:t>
      </w:r>
      <w:r w:rsidRPr="00D428F2">
        <w:rPr>
          <w:color w:val="231F20"/>
          <w:spacing w:val="22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pharmacokinetics.</w:t>
      </w:r>
      <w:r w:rsidRPr="00D428F2">
        <w:rPr>
          <w:color w:val="231F20"/>
          <w:spacing w:val="23"/>
          <w:sz w:val="18"/>
          <w:lang w:val="en-US"/>
        </w:rPr>
        <w:t xml:space="preserve"> </w:t>
      </w:r>
      <w:r>
        <w:rPr>
          <w:color w:val="231F20"/>
          <w:sz w:val="18"/>
        </w:rPr>
        <w:t>In: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Cruciani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Knotkova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H,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-4"/>
          <w:sz w:val="18"/>
        </w:rPr>
        <w:t>eds.</w:t>
      </w:r>
    </w:p>
    <w:p w14:paraId="2013F8AE" w14:textId="77777777" w:rsidR="00E45610" w:rsidRDefault="00E45610" w:rsidP="00E45610">
      <w:pPr>
        <w:spacing w:before="10"/>
        <w:ind w:left="440"/>
        <w:jc w:val="both"/>
        <w:rPr>
          <w:sz w:val="18"/>
        </w:rPr>
      </w:pPr>
      <w:r w:rsidRPr="00D428F2">
        <w:rPr>
          <w:i/>
          <w:color w:val="231F20"/>
          <w:sz w:val="18"/>
          <w:lang w:val="en-US"/>
        </w:rPr>
        <w:t>Handbook of</w:t>
      </w:r>
      <w:r w:rsidRPr="00D428F2">
        <w:rPr>
          <w:i/>
          <w:color w:val="231F20"/>
          <w:spacing w:val="1"/>
          <w:sz w:val="18"/>
          <w:lang w:val="en-US"/>
        </w:rPr>
        <w:t xml:space="preserve"> </w:t>
      </w:r>
      <w:r w:rsidRPr="00D428F2">
        <w:rPr>
          <w:i/>
          <w:color w:val="231F20"/>
          <w:sz w:val="18"/>
          <w:lang w:val="en-US"/>
        </w:rPr>
        <w:t>Methadone Prescribing</w:t>
      </w:r>
      <w:r w:rsidRPr="00D428F2">
        <w:rPr>
          <w:i/>
          <w:color w:val="231F20"/>
          <w:spacing w:val="1"/>
          <w:sz w:val="18"/>
          <w:lang w:val="en-US"/>
        </w:rPr>
        <w:t xml:space="preserve"> </w:t>
      </w:r>
      <w:r w:rsidRPr="00D428F2">
        <w:rPr>
          <w:i/>
          <w:color w:val="231F20"/>
          <w:sz w:val="18"/>
          <w:lang w:val="en-US"/>
        </w:rPr>
        <w:t>and Buprenorphine</w:t>
      </w:r>
      <w:r w:rsidRPr="00D428F2">
        <w:rPr>
          <w:i/>
          <w:color w:val="231F20"/>
          <w:spacing w:val="1"/>
          <w:sz w:val="18"/>
          <w:lang w:val="en-US"/>
        </w:rPr>
        <w:t xml:space="preserve"> </w:t>
      </w:r>
      <w:r w:rsidRPr="00D428F2">
        <w:rPr>
          <w:i/>
          <w:color w:val="231F20"/>
          <w:sz w:val="18"/>
          <w:lang w:val="en-US"/>
        </w:rPr>
        <w:t>Therapy</w:t>
      </w:r>
      <w:r w:rsidRPr="00D428F2">
        <w:rPr>
          <w:color w:val="231F20"/>
          <w:sz w:val="18"/>
          <w:lang w:val="en-US"/>
        </w:rPr>
        <w:t>.</w:t>
      </w:r>
      <w:r w:rsidRPr="00D428F2">
        <w:rPr>
          <w:color w:val="231F20"/>
          <w:spacing w:val="1"/>
          <w:sz w:val="18"/>
          <w:lang w:val="en-US"/>
        </w:rPr>
        <w:t xml:space="preserve"> </w:t>
      </w:r>
      <w:r>
        <w:rPr>
          <w:color w:val="231F20"/>
          <w:sz w:val="18"/>
        </w:rPr>
        <w:t>New York, NY: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Springer;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2013:163-</w:t>
      </w:r>
      <w:r>
        <w:rPr>
          <w:color w:val="231F20"/>
          <w:spacing w:val="-4"/>
          <w:sz w:val="18"/>
        </w:rPr>
        <w:t>181.</w:t>
      </w:r>
    </w:p>
    <w:p w14:paraId="3937E5F5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before="12" w:line="254" w:lineRule="auto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 xml:space="preserve">Kharasch ED. Current concepts in methadone metabolism and transport. </w:t>
      </w:r>
      <w:r>
        <w:rPr>
          <w:i/>
          <w:color w:val="231F20"/>
          <w:sz w:val="18"/>
        </w:rPr>
        <w:t>Clin Pharmacol Drug Dev</w:t>
      </w:r>
      <w:r>
        <w:rPr>
          <w:color w:val="231F20"/>
          <w:sz w:val="18"/>
        </w:rPr>
        <w:t xml:space="preserve">. 2017;6(2):125-134. </w:t>
      </w:r>
      <w:r>
        <w:rPr>
          <w:color w:val="231F20"/>
          <w:spacing w:val="-2"/>
          <w:sz w:val="18"/>
        </w:rPr>
        <w:t>doi:10.1002/cpdd.326</w:t>
      </w:r>
    </w:p>
    <w:p w14:paraId="307DAB11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41"/>
        </w:tabs>
        <w:spacing w:line="254" w:lineRule="auto"/>
        <w:ind w:right="109"/>
        <w:jc w:val="left"/>
        <w:rPr>
          <w:sz w:val="18"/>
        </w:rPr>
      </w:pPr>
      <w:r>
        <w:rPr>
          <w:color w:val="231F20"/>
          <w:sz w:val="18"/>
        </w:rPr>
        <w:t>Bova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Kruer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RM,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Nesbit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SA,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-6"/>
          <w:sz w:val="18"/>
        </w:rPr>
        <w:t xml:space="preserve"> </w:t>
      </w:r>
      <w:r w:rsidRPr="00D428F2">
        <w:rPr>
          <w:color w:val="231F20"/>
          <w:sz w:val="18"/>
          <w:lang w:val="en-US"/>
        </w:rPr>
        <w:t>Perioperative</w:t>
      </w:r>
      <w:r w:rsidRPr="00D428F2">
        <w:rPr>
          <w:color w:val="231F20"/>
          <w:spacing w:val="-5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methadone</w:t>
      </w:r>
      <w:r w:rsidRPr="00D428F2">
        <w:rPr>
          <w:color w:val="231F20"/>
          <w:spacing w:val="-6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prescribing</w:t>
      </w:r>
      <w:r w:rsidRPr="00D428F2">
        <w:rPr>
          <w:color w:val="231F20"/>
          <w:spacing w:val="-5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and</w:t>
      </w:r>
      <w:r w:rsidRPr="00D428F2">
        <w:rPr>
          <w:color w:val="231F20"/>
          <w:spacing w:val="-5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association</w:t>
      </w:r>
      <w:r w:rsidRPr="00D428F2">
        <w:rPr>
          <w:color w:val="231F20"/>
          <w:spacing w:val="-6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with</w:t>
      </w:r>
      <w:r w:rsidRPr="00D428F2">
        <w:rPr>
          <w:color w:val="231F20"/>
          <w:spacing w:val="-5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respiratory</w:t>
      </w:r>
      <w:r w:rsidRPr="00D428F2">
        <w:rPr>
          <w:color w:val="231F20"/>
          <w:spacing w:val="-6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depression.</w:t>
      </w:r>
      <w:r w:rsidRPr="00D428F2">
        <w:rPr>
          <w:color w:val="231F20"/>
          <w:spacing w:val="-5"/>
          <w:sz w:val="18"/>
          <w:lang w:val="en-US"/>
        </w:rPr>
        <w:t xml:space="preserve"> </w:t>
      </w:r>
      <w:r>
        <w:rPr>
          <w:i/>
          <w:color w:val="231F20"/>
          <w:sz w:val="18"/>
        </w:rPr>
        <w:t>J Opioid Manag</w:t>
      </w:r>
      <w:r>
        <w:rPr>
          <w:color w:val="231F20"/>
          <w:sz w:val="18"/>
        </w:rPr>
        <w:t>. 2020;16(6):443-449.</w:t>
      </w:r>
    </w:p>
    <w:p w14:paraId="60187474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spacing w:line="254" w:lineRule="auto"/>
        <w:ind w:left="449" w:hanging="338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>Romero</w:t>
      </w:r>
      <w:r w:rsidRPr="00D428F2">
        <w:rPr>
          <w:color w:val="231F20"/>
          <w:spacing w:val="-7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J,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Baldinger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SH,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Goodman-Meza</w:t>
      </w:r>
      <w:r w:rsidRPr="00D428F2">
        <w:rPr>
          <w:color w:val="231F20"/>
          <w:spacing w:val="-9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D,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et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al.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Drug-induced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torsades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de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pointes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in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an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underserved</w:t>
      </w:r>
      <w:r w:rsidRPr="00D428F2">
        <w:rPr>
          <w:color w:val="231F20"/>
          <w:spacing w:val="-8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urban</w:t>
      </w:r>
      <w:r w:rsidRPr="00D428F2">
        <w:rPr>
          <w:color w:val="231F20"/>
          <w:spacing w:val="-7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 xml:space="preserve">population. </w:t>
      </w:r>
      <w:r>
        <w:rPr>
          <w:color w:val="231F20"/>
          <w:sz w:val="18"/>
        </w:rPr>
        <w:t xml:space="preserve">Methadone: is there therapeutic equipoise? </w:t>
      </w:r>
      <w:r>
        <w:rPr>
          <w:i/>
          <w:color w:val="231F20"/>
          <w:sz w:val="18"/>
        </w:rPr>
        <w:t>J Interv Card Electrophysiol</w:t>
      </w:r>
      <w:r>
        <w:rPr>
          <w:color w:val="231F20"/>
          <w:sz w:val="18"/>
        </w:rPr>
        <w:t>. 2016;45(1):37-45.</w:t>
      </w:r>
    </w:p>
    <w:p w14:paraId="253878B5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spacing w:line="254" w:lineRule="auto"/>
        <w:ind w:left="449" w:hanging="338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>Johnson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RE,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Fudala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PJ,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Payne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R.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Buprenorphine: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considerations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for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pain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management.</w:t>
      </w:r>
      <w:r w:rsidRPr="00D428F2">
        <w:rPr>
          <w:color w:val="231F20"/>
          <w:spacing w:val="30"/>
          <w:sz w:val="18"/>
          <w:lang w:val="en-US"/>
        </w:rPr>
        <w:t xml:space="preserve"> </w:t>
      </w:r>
      <w:r>
        <w:rPr>
          <w:i/>
          <w:color w:val="231F20"/>
          <w:sz w:val="18"/>
        </w:rPr>
        <w:t>J</w:t>
      </w:r>
      <w:r>
        <w:rPr>
          <w:i/>
          <w:color w:val="231F20"/>
          <w:spacing w:val="30"/>
          <w:sz w:val="18"/>
        </w:rPr>
        <w:t xml:space="preserve"> </w:t>
      </w:r>
      <w:r>
        <w:rPr>
          <w:i/>
          <w:color w:val="231F20"/>
          <w:sz w:val="18"/>
        </w:rPr>
        <w:t>Pain</w:t>
      </w:r>
      <w:r>
        <w:rPr>
          <w:i/>
          <w:color w:val="231F20"/>
          <w:spacing w:val="30"/>
          <w:sz w:val="18"/>
        </w:rPr>
        <w:t xml:space="preserve"> </w:t>
      </w:r>
      <w:r>
        <w:rPr>
          <w:i/>
          <w:color w:val="231F20"/>
          <w:sz w:val="18"/>
        </w:rPr>
        <w:t>Symptom</w:t>
      </w:r>
      <w:r>
        <w:rPr>
          <w:i/>
          <w:color w:val="231F20"/>
          <w:spacing w:val="30"/>
          <w:sz w:val="18"/>
        </w:rPr>
        <w:t xml:space="preserve"> </w:t>
      </w:r>
      <w:r>
        <w:rPr>
          <w:i/>
          <w:color w:val="231F20"/>
          <w:sz w:val="18"/>
        </w:rPr>
        <w:t>Manage</w:t>
      </w:r>
      <w:r>
        <w:rPr>
          <w:color w:val="231F20"/>
          <w:sz w:val="18"/>
        </w:rPr>
        <w:t xml:space="preserve">. </w:t>
      </w:r>
      <w:r>
        <w:rPr>
          <w:color w:val="231F20"/>
          <w:spacing w:val="-2"/>
          <w:sz w:val="18"/>
        </w:rPr>
        <w:t>2005;29(3):297-326.</w:t>
      </w:r>
    </w:p>
    <w:p w14:paraId="027B872F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spacing w:line="254" w:lineRule="auto"/>
        <w:ind w:left="449" w:hanging="338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>Kress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HG.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Clinical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update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on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the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pharmacology,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ef</w:t>
      </w:r>
      <w:r>
        <w:rPr>
          <w:color w:val="231F20"/>
          <w:sz w:val="18"/>
        </w:rPr>
        <w:t>ﬁ</w:t>
      </w:r>
      <w:r w:rsidRPr="00D428F2">
        <w:rPr>
          <w:color w:val="231F20"/>
          <w:sz w:val="18"/>
          <w:lang w:val="en-US"/>
        </w:rPr>
        <w:t>cacy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and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safety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of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transdermal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buprenorphine.</w:t>
      </w:r>
      <w:r w:rsidRPr="00D428F2">
        <w:rPr>
          <w:color w:val="231F20"/>
          <w:spacing w:val="40"/>
          <w:sz w:val="18"/>
          <w:lang w:val="en-US"/>
        </w:rPr>
        <w:t xml:space="preserve"> </w:t>
      </w:r>
      <w:r>
        <w:rPr>
          <w:i/>
          <w:color w:val="231F20"/>
          <w:sz w:val="18"/>
        </w:rPr>
        <w:t>Eur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J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Pain</w:t>
      </w:r>
      <w:r>
        <w:rPr>
          <w:color w:val="231F20"/>
          <w:sz w:val="18"/>
        </w:rPr>
        <w:t>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sz w:val="18"/>
        </w:rPr>
        <w:t>2009;13(3):219-230.</w:t>
      </w:r>
    </w:p>
    <w:p w14:paraId="57FDB7DE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spacing w:line="254" w:lineRule="auto"/>
        <w:ind w:left="449" w:right="109" w:hanging="338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>Pergolizzi JV Jr, Magnusson P, LeQuang JA, et al. Transdermal buprenorphine for acute pain in the clinical setting: a</w:t>
      </w:r>
      <w:r w:rsidRPr="00D428F2">
        <w:rPr>
          <w:color w:val="231F20"/>
          <w:spacing w:val="80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 xml:space="preserve">narrative review. </w:t>
      </w:r>
      <w:r>
        <w:rPr>
          <w:i/>
          <w:color w:val="231F20"/>
          <w:sz w:val="18"/>
        </w:rPr>
        <w:t>J Pain Res</w:t>
      </w:r>
      <w:r>
        <w:rPr>
          <w:color w:val="231F20"/>
          <w:sz w:val="18"/>
        </w:rPr>
        <w:t>. 2021;14:871-879.</w:t>
      </w:r>
    </w:p>
    <w:p w14:paraId="3B83966B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spacing w:line="254" w:lineRule="auto"/>
        <w:ind w:left="449" w:hanging="338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>White LD, Hodge A, Vlok R, et al. Ef</w:t>
      </w:r>
      <w:r>
        <w:rPr>
          <w:color w:val="231F20"/>
          <w:sz w:val="18"/>
        </w:rPr>
        <w:t>ﬁ</w:t>
      </w:r>
      <w:r w:rsidRPr="00D428F2">
        <w:rPr>
          <w:color w:val="231F20"/>
          <w:sz w:val="18"/>
          <w:lang w:val="en-US"/>
        </w:rPr>
        <w:t xml:space="preserve">cacy and adverse effects of buprenorphine in acute pain management: systematic review and meta-analysis of randomised controlled trials. </w:t>
      </w:r>
      <w:r>
        <w:rPr>
          <w:i/>
          <w:color w:val="231F20"/>
          <w:sz w:val="18"/>
        </w:rPr>
        <w:t>Br J Anaesth</w:t>
      </w:r>
      <w:r>
        <w:rPr>
          <w:color w:val="231F20"/>
          <w:sz w:val="18"/>
        </w:rPr>
        <w:t>. 2018;120(4):668-678.</w:t>
      </w:r>
    </w:p>
    <w:p w14:paraId="422E5E63" w14:textId="77777777" w:rsidR="00E45610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ind w:left="449" w:right="0" w:hanging="339"/>
        <w:jc w:val="left"/>
        <w:rPr>
          <w:sz w:val="18"/>
        </w:rPr>
      </w:pPr>
      <w:r w:rsidRPr="00D428F2">
        <w:rPr>
          <w:color w:val="231F20"/>
          <w:sz w:val="18"/>
          <w:lang w:val="en-US"/>
        </w:rPr>
        <w:t>Vadivelu N, Anwar</w:t>
      </w:r>
      <w:r w:rsidRPr="00D428F2">
        <w:rPr>
          <w:color w:val="231F20"/>
          <w:spacing w:val="-1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M. Buprenorphine</w:t>
      </w:r>
      <w:r w:rsidRPr="00D428F2">
        <w:rPr>
          <w:color w:val="231F20"/>
          <w:spacing w:val="-1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in</w:t>
      </w:r>
      <w:r w:rsidRPr="00D428F2">
        <w:rPr>
          <w:color w:val="231F20"/>
          <w:spacing w:val="1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postoperative</w:t>
      </w:r>
      <w:r w:rsidRPr="00D428F2">
        <w:rPr>
          <w:color w:val="231F20"/>
          <w:spacing w:val="-1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pain</w:t>
      </w:r>
      <w:r w:rsidRPr="00D428F2">
        <w:rPr>
          <w:color w:val="231F20"/>
          <w:spacing w:val="-1"/>
          <w:sz w:val="18"/>
          <w:lang w:val="en-US"/>
        </w:rPr>
        <w:t xml:space="preserve"> </w:t>
      </w:r>
      <w:r w:rsidRPr="00D428F2">
        <w:rPr>
          <w:color w:val="231F20"/>
          <w:sz w:val="18"/>
          <w:lang w:val="en-US"/>
        </w:rPr>
        <w:t>management.</w:t>
      </w:r>
      <w:r w:rsidRPr="00D428F2">
        <w:rPr>
          <w:color w:val="231F20"/>
          <w:spacing w:val="1"/>
          <w:sz w:val="18"/>
          <w:lang w:val="en-US"/>
        </w:rPr>
        <w:t xml:space="preserve"> </w:t>
      </w:r>
      <w:r>
        <w:rPr>
          <w:i/>
          <w:color w:val="231F20"/>
          <w:sz w:val="18"/>
        </w:rPr>
        <w:t>Anesthesiol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Clin</w:t>
      </w:r>
      <w:r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2010;28(4):601-</w:t>
      </w:r>
      <w:r>
        <w:rPr>
          <w:color w:val="231F20"/>
          <w:spacing w:val="-4"/>
          <w:sz w:val="18"/>
        </w:rPr>
        <w:t>609.</w:t>
      </w:r>
    </w:p>
    <w:p w14:paraId="07E7DBCD" w14:textId="77777777" w:rsidR="00E45610" w:rsidRPr="00D428F2" w:rsidRDefault="00E45610" w:rsidP="00E45610">
      <w:pPr>
        <w:pStyle w:val="PargrafodaLista"/>
        <w:numPr>
          <w:ilvl w:val="0"/>
          <w:numId w:val="3"/>
        </w:numPr>
        <w:tabs>
          <w:tab w:val="left" w:pos="450"/>
        </w:tabs>
        <w:spacing w:before="9" w:line="254" w:lineRule="auto"/>
        <w:ind w:left="449" w:hanging="338"/>
        <w:jc w:val="left"/>
        <w:rPr>
          <w:sz w:val="18"/>
          <w:lang w:val="en-US"/>
        </w:rPr>
      </w:pPr>
      <w:r w:rsidRPr="00D428F2">
        <w:rPr>
          <w:color w:val="231F20"/>
          <w:sz w:val="18"/>
          <w:lang w:val="en-US"/>
        </w:rPr>
        <w:t>Neil MJE. Peri-operative management of patients on strong opioids. Anaesthesia Tutorial of the Week 2012. Accessed March 14, 2022. https://resources.wfsahq.org/atotw/peri-operative-management-of-patients-on-strong-opioids/</w:t>
      </w:r>
    </w:p>
    <w:p w14:paraId="64E80729" w14:textId="77777777" w:rsidR="00E45610" w:rsidRPr="00D428F2" w:rsidRDefault="00E45610" w:rsidP="00E45610">
      <w:pPr>
        <w:pStyle w:val="Corpodetexto"/>
        <w:rPr>
          <w:sz w:val="20"/>
          <w:lang w:val="en-US"/>
        </w:rPr>
      </w:pPr>
    </w:p>
    <w:p w14:paraId="346798DF" w14:textId="77777777" w:rsidR="00E45610" w:rsidRPr="00D428F2" w:rsidRDefault="00E45610" w:rsidP="00E45610">
      <w:pPr>
        <w:pStyle w:val="Corpodetexto"/>
        <w:spacing w:before="8"/>
        <w:rPr>
          <w:sz w:val="19"/>
          <w:lang w:val="en-US"/>
        </w:rPr>
      </w:pPr>
    </w:p>
    <w:p w14:paraId="2B45938B" w14:textId="77777777" w:rsidR="00CE60AD" w:rsidRPr="00D428F2" w:rsidRDefault="00CE60AD">
      <w:pPr>
        <w:pStyle w:val="Corpodetexto"/>
        <w:spacing w:before="8"/>
        <w:rPr>
          <w:szCs w:val="18"/>
          <w:lang w:val="en-US"/>
        </w:rPr>
      </w:pPr>
    </w:p>
    <w:p w14:paraId="273A1869" w14:textId="77777777" w:rsidR="00CE60AD" w:rsidRPr="00AC74E9" w:rsidRDefault="00DD6B63">
      <w:pPr>
        <w:spacing w:line="259" w:lineRule="auto"/>
        <w:ind w:left="1267" w:right="296" w:firstLine="3"/>
        <w:rPr>
          <w:sz w:val="16"/>
          <w:szCs w:val="16"/>
        </w:rPr>
      </w:pPr>
      <w:r w:rsidRPr="00AC74E9">
        <w:rPr>
          <w:noProof/>
          <w:sz w:val="16"/>
          <w:szCs w:val="16"/>
        </w:rPr>
        <w:drawing>
          <wp:anchor distT="0" distB="0" distL="0" distR="0" simplePos="0" relativeHeight="15731712" behindDoc="0" locked="0" layoutInCell="1" allowOverlap="1" wp14:anchorId="4EFAB796" wp14:editId="0361DDF2">
            <wp:simplePos x="0" y="0"/>
            <wp:positionH relativeFrom="page">
              <wp:posOffset>731519</wp:posOffset>
            </wp:positionH>
            <wp:positionV relativeFrom="paragraph">
              <wp:posOffset>-6132</wp:posOffset>
            </wp:positionV>
            <wp:extent cx="648792" cy="2270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92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4E9">
        <w:rPr>
          <w:color w:val="231F20"/>
          <w:sz w:val="16"/>
          <w:szCs w:val="16"/>
        </w:rPr>
        <w:t xml:space="preserve">Este trabalho está licenciado sob a Licença Internacional Creative Commons Atribuição 4.0. Para visualizar esta licença, visite </w:t>
      </w:r>
      <w:r w:rsidRPr="00AC74E9">
        <w:rPr>
          <w:color w:val="231F20"/>
          <w:sz w:val="16"/>
          <w:szCs w:val="16"/>
        </w:rPr>
        <w:t>https://creativecommons.org/licenses/by-nc-nd/4.0/</w:t>
      </w:r>
    </w:p>
    <w:p w14:paraId="7AC7309C" w14:textId="77777777" w:rsidR="00CE60AD" w:rsidRPr="00D82498" w:rsidRDefault="00CE60AD">
      <w:pPr>
        <w:pStyle w:val="Corpodetexto"/>
        <w:spacing w:before="10"/>
        <w:rPr>
          <w:szCs w:val="18"/>
        </w:rPr>
      </w:pPr>
    </w:p>
    <w:p w14:paraId="46A0C0EA" w14:textId="77777777" w:rsidR="00CE60AD" w:rsidRPr="00D82498" w:rsidRDefault="00DD6B63">
      <w:pPr>
        <w:pStyle w:val="P68B1DB1-Normal14"/>
        <w:spacing w:before="76"/>
        <w:ind w:left="111"/>
        <w:jc w:val="both"/>
        <w:rPr>
          <w:sz w:val="18"/>
          <w:szCs w:val="18"/>
        </w:rPr>
      </w:pPr>
      <w:r w:rsidRPr="00D82498">
        <w:rPr>
          <w:sz w:val="18"/>
          <w:szCs w:val="18"/>
        </w:rPr>
        <w:t>Isenção de responsabilidade da WFSA</w:t>
      </w:r>
    </w:p>
    <w:p w14:paraId="2015AEBF" w14:textId="77777777" w:rsidR="00CE60AD" w:rsidRPr="00AC74E9" w:rsidRDefault="00DD6B63">
      <w:pPr>
        <w:pStyle w:val="P68B1DB1-Normal14"/>
        <w:spacing w:before="15" w:line="259" w:lineRule="auto"/>
        <w:ind w:left="111" w:right="109"/>
        <w:jc w:val="both"/>
        <w:rPr>
          <w:szCs w:val="16"/>
        </w:rPr>
      </w:pPr>
      <w:r w:rsidRPr="00AC74E9">
        <w:rPr>
          <w:szCs w:val="16"/>
        </w:rPr>
        <w:t xml:space="preserve">O material e o conteúdo fornecidos foram estabelecidos de boa fé apenas para fins informativos e educacionais e não se destinam a substituir o envolvimento ativo e o </w:t>
      </w:r>
      <w:r w:rsidRPr="00AC74E9">
        <w:rPr>
          <w:szCs w:val="16"/>
        </w:rPr>
        <w:t>julgamento do pessoal médico e técnico profissional apropriado. Nem nós, nem os autores, nem outras partes envolvidas em sua produção fazemos quaisquer representações ou damos quaisquer garantias com relação à sua precisão, aplicabilidade ou integridade, nem qualquer responsabilidade é aceita por quaisquer efeitos adversos decorrentes de sua leitura ou visualização deste material e conteúdo. Toda e qualquer responsabilidade direta ou indiretamente decorrente do uso deste material e conteúdo é renunciada sem</w:t>
      </w:r>
      <w:r w:rsidRPr="00AC74E9">
        <w:rPr>
          <w:szCs w:val="16"/>
        </w:rPr>
        <w:t xml:space="preserve"> reservas.</w:t>
      </w:r>
    </w:p>
    <w:sectPr w:rsidR="00CE60AD" w:rsidRPr="00AC74E9">
      <w:pgSz w:w="12240" w:h="15840"/>
      <w:pgMar w:top="960" w:right="1040" w:bottom="1160" w:left="104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6779" w14:textId="77777777" w:rsidR="00423D7F" w:rsidRDefault="00423D7F">
      <w:r>
        <w:separator/>
      </w:r>
    </w:p>
  </w:endnote>
  <w:endnote w:type="continuationSeparator" w:id="0">
    <w:p w14:paraId="2773612C" w14:textId="77777777" w:rsidR="00423D7F" w:rsidRDefault="0042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C9E3" w14:textId="77777777" w:rsidR="00CE60AD" w:rsidRDefault="00DD6B63">
    <w:pPr>
      <w:pStyle w:val="Corpodetexto"/>
      <w:spacing w:line="14" w:lineRule="auto"/>
      <w:rPr>
        <w:sz w:val="20"/>
      </w:rPr>
    </w:pPr>
    <w:r>
      <w:pict w14:anchorId="15C77970">
        <v:rect id="docshape1" o:spid="_x0000_s1027" style="position:absolute;margin-left:57.35pt;margin-top:733.9pt;width:496.8pt;height:.5pt;z-index:-15880192;mso-position-horizontal-relative:page;mso-position-vertical-relative:page" fillcolor="black" stroked="f">
          <w10:wrap anchorx="page" anchory="page"/>
        </v:rect>
      </w:pict>
    </w:r>
    <w:r>
      <w:pict w14:anchorId="208A779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6.35pt;margin-top:742.4pt;width:447.95pt;height:22.55pt;z-index:-15879680;mso-position-horizontal-relative:page;mso-position-vertical-relative:page" filled="f" stroked="f">
          <v:textbox style="mso-next-textbox:#docshape2" inset="0,0,0,0">
            <w:txbxContent>
              <w:p w14:paraId="34402073" w14:textId="77777777" w:rsidR="00CE60AD" w:rsidRDefault="00DD6B63">
                <w:pPr>
                  <w:pStyle w:val="P68B1DB1-Normal15"/>
                  <w:spacing w:line="179" w:lineRule="exact"/>
                  <w:ind w:left="1038"/>
                </w:pPr>
                <w:r>
                  <w:rPr>
                    <w:color w:val="231F20"/>
                  </w:rPr>
                  <w:t xml:space="preserve">Assine os tutoriais da ATOTW visitando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https://resources.wfsahq.org/anaesthesia-tutorial-of-the-week/</w:t>
                  </w:r>
                </w:hyperlink>
              </w:p>
              <w:p w14:paraId="1B299A6C" w14:textId="77777777" w:rsidR="00CE60AD" w:rsidRDefault="00DD6B63">
                <w:pPr>
                  <w:pStyle w:val="P68B1DB1-Normal16"/>
                  <w:spacing w:before="77"/>
                  <w:ind w:left="20"/>
                </w:pPr>
                <w:hyperlink r:id="rId2">
                  <w:r>
                    <w:t>ATOTW 472 — Metadona e Buprenorfina para Tratamento da Dor Aguda Pós-Operatória (17 de maio de 2022)</w:t>
                  </w:r>
                </w:hyperlink>
              </w:p>
            </w:txbxContent>
          </v:textbox>
          <w10:wrap anchorx="page" anchory="page"/>
        </v:shape>
      </w:pict>
    </w:r>
    <w:r>
      <w:pict w14:anchorId="7B1B5ECE">
        <v:shape id="docshape3" o:spid="_x0000_s1025" type="#_x0000_t202" style="position:absolute;margin-left:512.25pt;margin-top:755.1pt;width:42.95pt;height:9.8pt;z-index:-15879168;mso-position-horizontal-relative:page;mso-position-vertical-relative:page" filled="f" stroked="f">
          <v:textbox style="mso-next-textbox:#docshape3" inset="0,0,0,0">
            <w:txbxContent>
              <w:p w14:paraId="2DB3A59F" w14:textId="57DA54D6" w:rsidR="00CE60AD" w:rsidRPr="00D82498" w:rsidRDefault="00DD6B63">
                <w:pPr>
                  <w:pStyle w:val="P68B1DB1-Normal16"/>
                  <w:spacing w:before="1"/>
                  <w:ind w:left="20"/>
                  <w:rPr>
                    <w:sz w:val="12"/>
                    <w:szCs w:val="12"/>
                  </w:rPr>
                </w:pPr>
                <w:hyperlink r:id="rId3">
                  <w:r w:rsidRPr="00D82498">
                    <w:rPr>
                      <w:sz w:val="12"/>
                      <w:szCs w:val="12"/>
                    </w:rPr>
                    <w:t xml:space="preserve">Página </w:t>
                  </w:r>
                  <w:r w:rsidRPr="00D82498">
                    <w:rPr>
                      <w:sz w:val="12"/>
                      <w:szCs w:val="12"/>
                    </w:rPr>
                    <w:fldChar w:fldCharType="begin"/>
                  </w:r>
                  <w:r w:rsidRPr="00D82498">
                    <w:rPr>
                      <w:sz w:val="12"/>
                      <w:szCs w:val="12"/>
                    </w:rPr>
                    <w:instrText xml:space="preserve"> PAGE </w:instrText>
                  </w:r>
                  <w:r w:rsidRPr="00D82498">
                    <w:rPr>
                      <w:sz w:val="12"/>
                      <w:szCs w:val="12"/>
                    </w:rPr>
                    <w:fldChar w:fldCharType="separate"/>
                  </w:r>
                  <w:r>
                    <w:rPr>
                      <w:noProof/>
                      <w:sz w:val="12"/>
                      <w:szCs w:val="12"/>
                    </w:rPr>
                    <w:t>5</w:t>
                  </w:r>
                  <w:r w:rsidRPr="00D82498">
                    <w:rPr>
                      <w:sz w:val="12"/>
                      <w:szCs w:val="12"/>
                    </w:rPr>
                    <w:fldChar w:fldCharType="end"/>
                  </w:r>
                  <w:r w:rsidRPr="00D82498">
                    <w:rPr>
                      <w:sz w:val="12"/>
                      <w:szCs w:val="12"/>
                    </w:rPr>
                    <w:t xml:space="preserve"> de </w:t>
                  </w:r>
                  <w:r w:rsidRPr="00D82498">
                    <w:rPr>
                      <w:sz w:val="12"/>
                      <w:szCs w:val="12"/>
                    </w:rPr>
                    <w:fldChar w:fldCharType="begin"/>
                  </w:r>
                  <w:r w:rsidRPr="00D82498">
                    <w:rPr>
                      <w:spacing w:val="-10"/>
                      <w:sz w:val="12"/>
                      <w:szCs w:val="12"/>
                    </w:rPr>
                    <w:instrText xml:space="preserve"> NUMPAGES </w:instrText>
                  </w:r>
                  <w:r w:rsidRPr="00D82498">
                    <w:rPr>
                      <w:spacing w:val="-10"/>
                      <w:sz w:val="12"/>
                      <w:szCs w:val="12"/>
                    </w:rPr>
                    <w:fldChar w:fldCharType="separate"/>
                  </w:r>
                  <w:r>
                    <w:rPr>
                      <w:noProof/>
                      <w:spacing w:val="-10"/>
                      <w:sz w:val="12"/>
                      <w:szCs w:val="12"/>
                    </w:rPr>
                    <w:t>6</w:t>
                  </w:r>
                  <w:r w:rsidRPr="00D82498">
                    <w:rPr>
                      <w:spacing w:val="-10"/>
                      <w:sz w:val="12"/>
                      <w:szCs w:val="12"/>
                    </w:rPr>
                    <w:fldChar w:fldCharType="end"/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D15C" w14:textId="77777777" w:rsidR="00423D7F" w:rsidRDefault="00423D7F">
      <w:r>
        <w:separator/>
      </w:r>
    </w:p>
  </w:footnote>
  <w:footnote w:type="continuationSeparator" w:id="0">
    <w:p w14:paraId="345842F2" w14:textId="77777777" w:rsidR="00423D7F" w:rsidRDefault="0042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2F36"/>
    <w:multiLevelType w:val="hybridMultilevel"/>
    <w:tmpl w:val="B28670C4"/>
    <w:lvl w:ilvl="0" w:tplc="9094ED4E">
      <w:start w:val="1"/>
      <w:numFmt w:val="decimal"/>
      <w:lvlText w:val="%1."/>
      <w:lvlJc w:val="left"/>
      <w:pPr>
        <w:ind w:left="440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8"/>
        <w:szCs w:val="18"/>
        <w:lang w:val="en-US" w:eastAsia="en-US" w:bidi="ar-SA"/>
      </w:rPr>
    </w:lvl>
    <w:lvl w:ilvl="1" w:tplc="8DCE9C00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ar-SA"/>
      </w:rPr>
    </w:lvl>
    <w:lvl w:ilvl="2" w:tplc="4566DBA2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5030B014">
      <w:numFmt w:val="bullet"/>
      <w:lvlText w:val="•"/>
      <w:lvlJc w:val="left"/>
      <w:pPr>
        <w:ind w:left="3356" w:hanging="240"/>
      </w:pPr>
      <w:rPr>
        <w:rFonts w:hint="default"/>
        <w:lang w:val="en-US" w:eastAsia="en-US" w:bidi="ar-SA"/>
      </w:rPr>
    </w:lvl>
    <w:lvl w:ilvl="4" w:tplc="A1E8B376">
      <w:numFmt w:val="bullet"/>
      <w:lvlText w:val="•"/>
      <w:lvlJc w:val="left"/>
      <w:pPr>
        <w:ind w:left="4328" w:hanging="240"/>
      </w:pPr>
      <w:rPr>
        <w:rFonts w:hint="default"/>
        <w:lang w:val="en-US" w:eastAsia="en-US" w:bidi="ar-SA"/>
      </w:rPr>
    </w:lvl>
    <w:lvl w:ilvl="5" w:tplc="28F4A220"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 w:tplc="27E033D2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  <w:lvl w:ilvl="7" w:tplc="8174BC58">
      <w:numFmt w:val="bullet"/>
      <w:lvlText w:val="•"/>
      <w:lvlJc w:val="left"/>
      <w:pPr>
        <w:ind w:left="7244" w:hanging="240"/>
      </w:pPr>
      <w:rPr>
        <w:rFonts w:hint="default"/>
        <w:lang w:val="en-US" w:eastAsia="en-US" w:bidi="ar-SA"/>
      </w:rPr>
    </w:lvl>
    <w:lvl w:ilvl="8" w:tplc="2CA88B00">
      <w:numFmt w:val="bullet"/>
      <w:lvlText w:val="•"/>
      <w:lvlJc w:val="left"/>
      <w:pPr>
        <w:ind w:left="821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EA339CE"/>
    <w:multiLevelType w:val="hybridMultilevel"/>
    <w:tmpl w:val="1C52BFDE"/>
    <w:lvl w:ilvl="0" w:tplc="24D09D7E">
      <w:start w:val="1"/>
      <w:numFmt w:val="decimal"/>
      <w:lvlText w:val="%1."/>
      <w:lvlJc w:val="left"/>
      <w:pPr>
        <w:ind w:left="440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8"/>
        <w:szCs w:val="18"/>
        <w:lang w:val="pt-BR" w:eastAsia="en-US" w:bidi="ar-SA"/>
      </w:rPr>
    </w:lvl>
    <w:lvl w:ilvl="1" w:tplc="F76211FC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ar-SA"/>
      </w:rPr>
    </w:lvl>
    <w:lvl w:ilvl="2" w:tplc="6AB8B652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05782F0C">
      <w:numFmt w:val="bullet"/>
      <w:lvlText w:val="•"/>
      <w:lvlJc w:val="left"/>
      <w:pPr>
        <w:ind w:left="3356" w:hanging="240"/>
      </w:pPr>
      <w:rPr>
        <w:rFonts w:hint="default"/>
        <w:lang w:val="en-US" w:eastAsia="en-US" w:bidi="ar-SA"/>
      </w:rPr>
    </w:lvl>
    <w:lvl w:ilvl="4" w:tplc="5824CDAA">
      <w:numFmt w:val="bullet"/>
      <w:lvlText w:val="•"/>
      <w:lvlJc w:val="left"/>
      <w:pPr>
        <w:ind w:left="4328" w:hanging="240"/>
      </w:pPr>
      <w:rPr>
        <w:rFonts w:hint="default"/>
        <w:lang w:val="en-US" w:eastAsia="en-US" w:bidi="ar-SA"/>
      </w:rPr>
    </w:lvl>
    <w:lvl w:ilvl="5" w:tplc="8A0EC784"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 w:tplc="CA8C1580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  <w:lvl w:ilvl="7" w:tplc="1354E558">
      <w:numFmt w:val="bullet"/>
      <w:lvlText w:val="•"/>
      <w:lvlJc w:val="left"/>
      <w:pPr>
        <w:ind w:left="7244" w:hanging="240"/>
      </w:pPr>
      <w:rPr>
        <w:rFonts w:hint="default"/>
        <w:lang w:val="en-US" w:eastAsia="en-US" w:bidi="ar-SA"/>
      </w:rPr>
    </w:lvl>
    <w:lvl w:ilvl="8" w:tplc="0DA021AA">
      <w:numFmt w:val="bullet"/>
      <w:lvlText w:val="•"/>
      <w:lvlJc w:val="left"/>
      <w:pPr>
        <w:ind w:left="821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0156E07"/>
    <w:multiLevelType w:val="hybridMultilevel"/>
    <w:tmpl w:val="BAF04290"/>
    <w:lvl w:ilvl="0" w:tplc="F8EE6E1A">
      <w:numFmt w:val="bullet"/>
      <w:lvlText w:val="•"/>
      <w:lvlJc w:val="left"/>
      <w:pPr>
        <w:ind w:left="366" w:hanging="1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6"/>
        <w:position w:val="3"/>
        <w:sz w:val="14"/>
        <w:szCs w:val="14"/>
        <w:lang w:val="en-US" w:eastAsia="en-US" w:bidi="ar-SA"/>
      </w:rPr>
    </w:lvl>
    <w:lvl w:ilvl="1" w:tplc="34506276">
      <w:numFmt w:val="bullet"/>
      <w:lvlText w:val="•"/>
      <w:lvlJc w:val="left"/>
      <w:pPr>
        <w:ind w:left="1317" w:hanging="192"/>
      </w:pPr>
      <w:rPr>
        <w:rFonts w:hint="default"/>
        <w:lang w:val="en-US" w:eastAsia="en-US" w:bidi="ar-SA"/>
      </w:rPr>
    </w:lvl>
    <w:lvl w:ilvl="2" w:tplc="A48AEB48">
      <w:numFmt w:val="bullet"/>
      <w:lvlText w:val="•"/>
      <w:lvlJc w:val="left"/>
      <w:pPr>
        <w:ind w:left="2275" w:hanging="192"/>
      </w:pPr>
      <w:rPr>
        <w:rFonts w:hint="default"/>
        <w:lang w:val="en-US" w:eastAsia="en-US" w:bidi="ar-SA"/>
      </w:rPr>
    </w:lvl>
    <w:lvl w:ilvl="3" w:tplc="E2B011CA">
      <w:numFmt w:val="bullet"/>
      <w:lvlText w:val="•"/>
      <w:lvlJc w:val="left"/>
      <w:pPr>
        <w:ind w:left="3232" w:hanging="192"/>
      </w:pPr>
      <w:rPr>
        <w:rFonts w:hint="default"/>
        <w:lang w:val="en-US" w:eastAsia="en-US" w:bidi="ar-SA"/>
      </w:rPr>
    </w:lvl>
    <w:lvl w:ilvl="4" w:tplc="E1A280D8">
      <w:numFmt w:val="bullet"/>
      <w:lvlText w:val="•"/>
      <w:lvlJc w:val="left"/>
      <w:pPr>
        <w:ind w:left="4190" w:hanging="192"/>
      </w:pPr>
      <w:rPr>
        <w:rFonts w:hint="default"/>
        <w:lang w:val="en-US" w:eastAsia="en-US" w:bidi="ar-SA"/>
      </w:rPr>
    </w:lvl>
    <w:lvl w:ilvl="5" w:tplc="69E63D0C">
      <w:numFmt w:val="bullet"/>
      <w:lvlText w:val="•"/>
      <w:lvlJc w:val="left"/>
      <w:pPr>
        <w:ind w:left="5148" w:hanging="192"/>
      </w:pPr>
      <w:rPr>
        <w:rFonts w:hint="default"/>
        <w:lang w:val="en-US" w:eastAsia="en-US" w:bidi="ar-SA"/>
      </w:rPr>
    </w:lvl>
    <w:lvl w:ilvl="6" w:tplc="4A0C06A4">
      <w:numFmt w:val="bullet"/>
      <w:lvlText w:val="•"/>
      <w:lvlJc w:val="left"/>
      <w:pPr>
        <w:ind w:left="6105" w:hanging="192"/>
      </w:pPr>
      <w:rPr>
        <w:rFonts w:hint="default"/>
        <w:lang w:val="en-US" w:eastAsia="en-US" w:bidi="ar-SA"/>
      </w:rPr>
    </w:lvl>
    <w:lvl w:ilvl="7" w:tplc="36C226F8">
      <w:numFmt w:val="bullet"/>
      <w:lvlText w:val="•"/>
      <w:lvlJc w:val="left"/>
      <w:pPr>
        <w:ind w:left="7063" w:hanging="192"/>
      </w:pPr>
      <w:rPr>
        <w:rFonts w:hint="default"/>
        <w:lang w:val="en-US" w:eastAsia="en-US" w:bidi="ar-SA"/>
      </w:rPr>
    </w:lvl>
    <w:lvl w:ilvl="8" w:tplc="52E0D29E">
      <w:numFmt w:val="bullet"/>
      <w:lvlText w:val="•"/>
      <w:lvlJc w:val="left"/>
      <w:pPr>
        <w:ind w:left="8020" w:hanging="192"/>
      </w:pPr>
      <w:rPr>
        <w:rFonts w:hint="default"/>
        <w:lang w:val="en-US" w:eastAsia="en-US" w:bidi="ar-SA"/>
      </w:rPr>
    </w:lvl>
  </w:abstractNum>
  <w:num w:numId="1" w16cid:durableId="1943218338">
    <w:abstractNumId w:val="1"/>
  </w:num>
  <w:num w:numId="2" w16cid:durableId="1273509808">
    <w:abstractNumId w:val="2"/>
  </w:num>
  <w:num w:numId="3" w16cid:durableId="189060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0AD"/>
    <w:rsid w:val="00012AB4"/>
    <w:rsid w:val="0005175E"/>
    <w:rsid w:val="00064F02"/>
    <w:rsid w:val="0009286A"/>
    <w:rsid w:val="000B646E"/>
    <w:rsid w:val="000D552C"/>
    <w:rsid w:val="00132C32"/>
    <w:rsid w:val="001A10AA"/>
    <w:rsid w:val="001C0FE6"/>
    <w:rsid w:val="001E47A5"/>
    <w:rsid w:val="002078A3"/>
    <w:rsid w:val="002267C6"/>
    <w:rsid w:val="00247B6D"/>
    <w:rsid w:val="002D7C71"/>
    <w:rsid w:val="00354930"/>
    <w:rsid w:val="00423D7F"/>
    <w:rsid w:val="00514CBD"/>
    <w:rsid w:val="0053655B"/>
    <w:rsid w:val="00566456"/>
    <w:rsid w:val="005D7EE4"/>
    <w:rsid w:val="0066397D"/>
    <w:rsid w:val="006E0831"/>
    <w:rsid w:val="00705BFD"/>
    <w:rsid w:val="00712549"/>
    <w:rsid w:val="00757D34"/>
    <w:rsid w:val="007D6AF8"/>
    <w:rsid w:val="007E3CCE"/>
    <w:rsid w:val="00845C4A"/>
    <w:rsid w:val="008F1D88"/>
    <w:rsid w:val="009132A3"/>
    <w:rsid w:val="009442F6"/>
    <w:rsid w:val="00AC74E9"/>
    <w:rsid w:val="00B43E6A"/>
    <w:rsid w:val="00B93CF7"/>
    <w:rsid w:val="00BA7F9C"/>
    <w:rsid w:val="00BE6BD2"/>
    <w:rsid w:val="00CE60AD"/>
    <w:rsid w:val="00D167B7"/>
    <w:rsid w:val="00D428F2"/>
    <w:rsid w:val="00D82498"/>
    <w:rsid w:val="00D92E00"/>
    <w:rsid w:val="00DB2F09"/>
    <w:rsid w:val="00DD6B63"/>
    <w:rsid w:val="00E45610"/>
    <w:rsid w:val="00F02ED9"/>
    <w:rsid w:val="00F0459E"/>
    <w:rsid w:val="00F32ADC"/>
    <w:rsid w:val="00F6135A"/>
    <w:rsid w:val="00F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31FAC9B"/>
  <w15:docId w15:val="{CA370D1E-0225-409E-AA5B-8B4A27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t-BR" w:eastAsia="pt-B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4"/>
    </w:rPr>
  </w:style>
  <w:style w:type="paragraph" w:styleId="Ttulo2">
    <w:name w:val="heading 2"/>
    <w:basedOn w:val="Normal"/>
    <w:uiPriority w:val="9"/>
    <w:semiHidden/>
    <w:unhideWhenUsed/>
    <w:qFormat/>
    <w:pPr>
      <w:ind w:left="112"/>
      <w:outlineLvl w:val="1"/>
    </w:pPr>
    <w:rPr>
      <w:sz w:val="24"/>
    </w:rPr>
  </w:style>
  <w:style w:type="paragraph" w:styleId="Ttulo3">
    <w:name w:val="heading 3"/>
    <w:basedOn w:val="Normal"/>
    <w:uiPriority w:val="9"/>
    <w:semiHidden/>
    <w:unhideWhenUsed/>
    <w:qFormat/>
    <w:pPr>
      <w:ind w:left="112"/>
      <w:outlineLvl w:val="2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</w:rPr>
  </w:style>
  <w:style w:type="paragraph" w:styleId="Ttulo">
    <w:name w:val="Title"/>
    <w:basedOn w:val="Normal"/>
    <w:uiPriority w:val="10"/>
    <w:qFormat/>
    <w:pPr>
      <w:spacing w:before="58"/>
      <w:ind w:left="112" w:right="2409"/>
    </w:pPr>
    <w:rPr>
      <w:sz w:val="40"/>
    </w:rPr>
  </w:style>
  <w:style w:type="paragraph" w:styleId="PargrafodaLista">
    <w:name w:val="List Paragraph"/>
    <w:basedOn w:val="Normal"/>
    <w:uiPriority w:val="1"/>
    <w:qFormat/>
    <w:pPr>
      <w:ind w:left="440" w:right="110" w:hanging="240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customStyle="1" w:styleId="P68B1DB1-Normal1">
    <w:name w:val="P68B1DB1-Normal1"/>
    <w:basedOn w:val="Normal"/>
    <w:rPr>
      <w:color w:val="FFFFFF"/>
      <w:sz w:val="32"/>
    </w:rPr>
  </w:style>
  <w:style w:type="paragraph" w:customStyle="1" w:styleId="P68B1DB1-Normal2">
    <w:name w:val="P68B1DB1-Normal2"/>
    <w:basedOn w:val="Normal"/>
    <w:rPr>
      <w:color w:val="231F20"/>
    </w:rPr>
  </w:style>
  <w:style w:type="paragraph" w:customStyle="1" w:styleId="P68B1DB1-BodyText3">
    <w:name w:val="P68B1DB1-BodyText3"/>
    <w:basedOn w:val="Corpodetexto"/>
    <w:rPr>
      <w:color w:val="231F20"/>
    </w:rPr>
  </w:style>
  <w:style w:type="paragraph" w:customStyle="1" w:styleId="P68B1DB1-Normal4">
    <w:name w:val="P68B1DB1-Normal4"/>
    <w:basedOn w:val="Normal"/>
    <w:rPr>
      <w:i/>
      <w:color w:val="231F20"/>
      <w:sz w:val="18"/>
    </w:rPr>
  </w:style>
  <w:style w:type="paragraph" w:customStyle="1" w:styleId="P68B1DB1-Normal5">
    <w:name w:val="P68B1DB1-Normal5"/>
    <w:basedOn w:val="Normal"/>
    <w:rPr>
      <w:color w:val="231F20"/>
      <w:sz w:val="24"/>
    </w:rPr>
  </w:style>
  <w:style w:type="paragraph" w:customStyle="1" w:styleId="P68B1DB1-Heading16">
    <w:name w:val="P68B1DB1-Heading16"/>
    <w:basedOn w:val="Ttulo1"/>
    <w:rPr>
      <w:color w:val="231F20"/>
    </w:rPr>
  </w:style>
  <w:style w:type="paragraph" w:customStyle="1" w:styleId="P68B1DB1-Normal7">
    <w:name w:val="P68B1DB1-Normal7"/>
    <w:basedOn w:val="Normal"/>
    <w:rPr>
      <w:i/>
      <w:color w:val="0000FF"/>
      <w:sz w:val="20"/>
    </w:rPr>
  </w:style>
  <w:style w:type="paragraph" w:customStyle="1" w:styleId="P68B1DB1-Normal8">
    <w:name w:val="P68B1DB1-Normal8"/>
    <w:basedOn w:val="Normal"/>
    <w:rPr>
      <w:i/>
      <w:sz w:val="16"/>
    </w:rPr>
  </w:style>
  <w:style w:type="paragraph" w:customStyle="1" w:styleId="P68B1DB1-Heading29">
    <w:name w:val="P68B1DB1-Heading29"/>
    <w:basedOn w:val="Ttulo2"/>
    <w:rPr>
      <w:color w:val="231F20"/>
    </w:rPr>
  </w:style>
  <w:style w:type="paragraph" w:customStyle="1" w:styleId="P68B1DB1-Heading310">
    <w:name w:val="P68B1DB1-Heading310"/>
    <w:basedOn w:val="Ttulo3"/>
    <w:rPr>
      <w:color w:val="231F20"/>
    </w:rPr>
  </w:style>
  <w:style w:type="paragraph" w:customStyle="1" w:styleId="P68B1DB1-TableParagraph11">
    <w:name w:val="P68B1DB1-TableParagraph11"/>
    <w:basedOn w:val="TableParagraph"/>
    <w:rPr>
      <w:color w:val="231F20"/>
      <w:sz w:val="18"/>
    </w:rPr>
  </w:style>
  <w:style w:type="paragraph" w:customStyle="1" w:styleId="P68B1DB1-ListParagraph12">
    <w:name w:val="P68B1DB1-ListParagraph12"/>
    <w:basedOn w:val="PargrafodaLista"/>
    <w:rPr>
      <w:color w:val="231F20"/>
      <w:sz w:val="18"/>
    </w:rPr>
  </w:style>
  <w:style w:type="paragraph" w:customStyle="1" w:styleId="P68B1DB1-Normal13">
    <w:name w:val="P68B1DB1-Normal13"/>
    <w:basedOn w:val="Normal"/>
    <w:rPr>
      <w:color w:val="231F20"/>
      <w:sz w:val="18"/>
    </w:rPr>
  </w:style>
  <w:style w:type="paragraph" w:customStyle="1" w:styleId="P68B1DB1-Normal14">
    <w:name w:val="P68B1DB1-Normal14"/>
    <w:basedOn w:val="Normal"/>
    <w:rPr>
      <w:color w:val="231F20"/>
      <w:sz w:val="16"/>
    </w:rPr>
  </w:style>
  <w:style w:type="paragraph" w:customStyle="1" w:styleId="P68B1DB1-Normal15">
    <w:name w:val="P68B1DB1-Normal15"/>
    <w:basedOn w:val="Normal"/>
    <w:rPr>
      <w:sz w:val="16"/>
    </w:rPr>
  </w:style>
  <w:style w:type="paragraph" w:customStyle="1" w:styleId="P68B1DB1-Normal16">
    <w:name w:val="P68B1DB1-Normal16"/>
    <w:basedOn w:val="Normal"/>
    <w:rPr>
      <w:sz w:val="15"/>
    </w:rPr>
  </w:style>
  <w:style w:type="paragraph" w:styleId="Cabealho">
    <w:name w:val="header"/>
    <w:basedOn w:val="Normal"/>
    <w:link w:val="CabealhoChar"/>
    <w:uiPriority w:val="99"/>
    <w:unhideWhenUsed/>
    <w:rsid w:val="00F32A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AD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32A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A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fsahq.org/c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wfsahq.org/quiz/methadone-and-buprenorphine-for-management-of-acute-postoperative-pain-atotw-47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ravyakarna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fsahq.org/cm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urces.wfsahq.org/anaesthesia-tutorial-of-the-week/" TargetMode="External"/><Relationship Id="rId2" Type="http://schemas.openxmlformats.org/officeDocument/2006/relationships/hyperlink" Target="https://resources.wfsahq.org/anaesthesia-tutorial-of-the-week/" TargetMode="External"/><Relationship Id="rId1" Type="http://schemas.openxmlformats.org/officeDocument/2006/relationships/hyperlink" Target="https://resources.wfsahq.org/anaesthesia-tutorial-of-the-w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69223078-EB9A-4BED-9077-92CB82EB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CB5A1-9883-4155-B87F-07EAE0221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79B53-AA24-4EF4-91B9-A52C54DB0EAE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3813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Thiago Lima Barreto</cp:lastModifiedBy>
  <cp:revision>33</cp:revision>
  <dcterms:created xsi:type="dcterms:W3CDTF">2024-04-17T19:22:00Z</dcterms:created>
  <dcterms:modified xsi:type="dcterms:W3CDTF">2024-04-17T22:20:00Z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3B2 Total Publishing System 8.07c/W</vt:lpwstr>
  </property>
  <property fmtid="{D5CDD505-2E9C-101B-9397-08002B2CF9AE}" pid="4" name="LastSaved">
    <vt:filetime>2022-09-22T00:00:00Z</vt:filetime>
  </property>
  <property fmtid="{D5CDD505-2E9C-101B-9397-08002B2CF9AE}" pid="5" name="Producer">
    <vt:lpwstr>Adobe LiveCycle PDF Generator</vt:lpwstr>
  </property>
  <property fmtid="{D5CDD505-2E9C-101B-9397-08002B2CF9AE}" pid="6" name="ContentTypeId">
    <vt:lpwstr>0x010100032F932ED62B9A47AD1548F009084528</vt:lpwstr>
  </property>
</Properties>
</file>