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QUIZ 532 rev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VERDADEIRO / FALSO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Procedimentos minimamente invasivos envolvem histerotomia.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Não, a histerotomia não é realizada em procedimentos minimamente invasivos.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débito cardíaco fetal depende principalmente de alterações na frequência cardíaca.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 débito cardíaco fetal depende de alterações na frequência cardíaca. O volume sistólico tem influência mínima.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resposta hipotalâmica a estímulos nocivos pode estar presente a partir de 18 semanas no feto.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resposta hipotalâmica a estímulos nocivos pode estar presente por volta das 18 semanas no feto.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infusão de cristaloide morno na cavidade uterina após a histerotomia é administrada para prevenir a hipotermia fetal.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 cristaloide morno é infundido após a histerotomia para prevenir a hipotermia fetal.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sulfato de magnésio é o tocolítico preferido em procedimentos EXIT.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 sulfato de magnésio tem ação prolongada e não é o preferido em procedimentos EXIT.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passagem transplacentária de opioides pode atenuar a resposta ao estresse fetal.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Os opioides atravessam facilmente a placenta e podem atenuar a resposta ao estresse.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Os anestésicos voláteis não causam depressão cardíaca fetal.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Os anestésicos voláteis levam à depressão cardíaca fetal.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saturação fetal (FSpO2) normalmente varia entre 30% e 70%.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saturação fetal (FSpO2) varia entre 30% e 70%.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administração intramuscular de medicamentos pode desencadear uma resposta ao estresse no feto não anestesiado.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Em um feto não anestesiado, a injeção intramuscular pode desencadear uma resposta ao estresse que pode causar desvio de sangue dos músculos e absorção imprevisível.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via intravenosa de administração de medicamentos é utilizada em procedimentos minimamente invasivos no feto.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As vias transplacentária ou intramuscular são usadas para administração de medicamentos no feto em procedimentos minimamente invasivos.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bradicardia fetal é uma frequência cardíaca fetal &lt;100 batimentos por minuto.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bradicardia fetal é definida como frequência cardíaca fetal &lt;100 batimentos por minuto.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deslocação uterina para a esquerda é aconselhada para procedimentos realizados a partir do segundo trimestre.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deslocação uterina para a esquerda alivia a hipotensão supina e é recomendada para procedimentos realizados a partir do segundo trimestre.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Tocolíticos são mantidos no pós-operatório em procedimentos abertos no meio da gestação.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Tocolíticos são mantidos no pós-operatório em procedimentos abertos no meio da gestação para prevenir o trabalho de parto prematuro.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infusão de sulfato de magnésio pode causar fraqueza muscular significativa, aumentando a ação de medicamentos bloqueadores neuromusculares.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 sulfato de magnésio aumenta a ação dos bloqueadores neuromusculares e deve ser considerado ao tomar decisões sobre reversão e extubação.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bradicardia fetal é um indicador confiável de estresse fetal.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bradicardia fetal indica estresse fetal.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Uma mistura de opioides, bloqueador neuromuscular não despolarizante e atropina é administrada ao feto para anestesia fetal e imobilidade.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Uma mistura de opioide, relaxante muscular não despolarizante e atropina pode ser administrado diretamente ao feto para anestesia fetal e imobilidade.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dose baseada no peso fetal de epinefrina para ressuscitação fetal é 20 mcg/kg.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dose estimada baseada no peso fetal de epinefrina para ressuscitação fetal é 10 mcg/kg.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parturiente pode receber cristaloides intravenosos liberalmente em procedimentos abertos no meio da gestação.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Os cristaloides intravenosos devem ser limitados a 500-1000 mL para prevenir edema pulmonar em procedimentos abertos no meio da gestação.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Em procedimentos EXIT, a via aérea fetal é assegurada e os pulmões são ventilados imediatamente para oxigenação fetal.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via aérea fetal é assegurada imediatamente, mas não ventilada. O feto depende da circulação placentária para oxigenação.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volume de medicamento usado para injeção intramuscular no feto é normalmente limitado a 0,2-0,5 mL.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 volume de injeção intramuscular fetal é limitado a 0,2-0,5 mL.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